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DE065" w14:textId="77777777" w:rsidR="00860D42" w:rsidRDefault="00860D42" w:rsidP="008D10E9">
      <w:pPr>
        <w:tabs>
          <w:tab w:val="center" w:pos="5159"/>
        </w:tabs>
        <w:spacing w:after="0" w:line="240" w:lineRule="auto"/>
        <w:outlineLvl w:val="0"/>
        <w:rPr>
          <w:rFonts w:ascii="Arial" w:eastAsia="Times New Roman" w:hAnsi="Arial" w:cs="Arial"/>
          <w:b/>
          <w:color w:val="01794C"/>
          <w:sz w:val="28"/>
        </w:rPr>
      </w:pPr>
    </w:p>
    <w:p w14:paraId="6A59DA6A" w14:textId="77777777" w:rsidR="00836400" w:rsidRPr="007D1984" w:rsidRDefault="00836400" w:rsidP="00836400">
      <w:pPr>
        <w:tabs>
          <w:tab w:val="center" w:pos="5159"/>
        </w:tabs>
        <w:spacing w:after="0" w:line="240" w:lineRule="auto"/>
        <w:jc w:val="center"/>
        <w:outlineLvl w:val="0"/>
        <w:rPr>
          <w:rFonts w:ascii="Arial" w:eastAsia="Times New Roman" w:hAnsi="Arial" w:cs="Arial"/>
          <w:b/>
          <w:color w:val="000000" w:themeColor="text1"/>
          <w:sz w:val="28"/>
        </w:rPr>
      </w:pPr>
    </w:p>
    <w:p w14:paraId="3049F566" w14:textId="46F9C7A6" w:rsidR="003725E0" w:rsidRPr="0030514A" w:rsidRDefault="0009293D" w:rsidP="0030514A">
      <w:pPr>
        <w:tabs>
          <w:tab w:val="center" w:pos="5159"/>
        </w:tabs>
        <w:spacing w:after="0" w:line="240" w:lineRule="auto"/>
        <w:jc w:val="center"/>
        <w:outlineLvl w:val="0"/>
        <w:rPr>
          <w:rFonts w:ascii="Arial" w:eastAsia="Times New Roman" w:hAnsi="Arial" w:cs="Arial"/>
          <w:b/>
          <w:color w:val="000000" w:themeColor="text1"/>
          <w:sz w:val="24"/>
        </w:rPr>
      </w:pPr>
      <w:r>
        <w:rPr>
          <w:rFonts w:ascii="Arial" w:eastAsia="Times New Roman" w:hAnsi="Arial" w:cs="Arial"/>
          <w:b/>
          <w:color w:val="000000" w:themeColor="text1"/>
          <w:sz w:val="24"/>
        </w:rPr>
        <w:t xml:space="preserve">Investment Newsletter – </w:t>
      </w:r>
      <w:r w:rsidR="0067704C">
        <w:rPr>
          <w:rFonts w:ascii="Arial" w:eastAsia="Times New Roman" w:hAnsi="Arial" w:cs="Arial"/>
          <w:b/>
          <w:color w:val="000000" w:themeColor="text1"/>
          <w:sz w:val="24"/>
        </w:rPr>
        <w:t>Ju</w:t>
      </w:r>
      <w:r w:rsidR="001253B7">
        <w:rPr>
          <w:rFonts w:ascii="Arial" w:eastAsia="Times New Roman" w:hAnsi="Arial" w:cs="Arial"/>
          <w:b/>
          <w:color w:val="000000" w:themeColor="text1"/>
          <w:sz w:val="24"/>
        </w:rPr>
        <w:t>ly</w:t>
      </w:r>
      <w:r>
        <w:rPr>
          <w:rFonts w:ascii="Arial" w:eastAsia="Times New Roman" w:hAnsi="Arial" w:cs="Arial"/>
          <w:b/>
          <w:color w:val="000000" w:themeColor="text1"/>
          <w:sz w:val="24"/>
        </w:rPr>
        <w:t xml:space="preserve"> 202</w:t>
      </w:r>
      <w:r w:rsidR="00577B38">
        <w:rPr>
          <w:rFonts w:ascii="Arial" w:eastAsia="Times New Roman" w:hAnsi="Arial" w:cs="Arial"/>
          <w:b/>
          <w:color w:val="000000" w:themeColor="text1"/>
          <w:sz w:val="24"/>
        </w:rPr>
        <w:t>3</w:t>
      </w:r>
    </w:p>
    <w:p w14:paraId="1A5AAD9C" w14:textId="13567E76" w:rsidR="005C1879" w:rsidRDefault="00A7114D" w:rsidP="00A7114D">
      <w:pPr>
        <w:spacing w:after="0" w:line="240" w:lineRule="auto"/>
        <w:ind w:left="2160"/>
        <w:rPr>
          <w:rFonts w:ascii="Arial" w:hAnsi="Arial" w:cs="Arial"/>
          <w:b/>
          <w:color w:val="0070C0"/>
          <w:sz w:val="16"/>
          <w:szCs w:val="20"/>
        </w:rPr>
      </w:pPr>
      <w:r>
        <w:rPr>
          <w:rFonts w:ascii="Arial" w:hAnsi="Arial" w:cs="Arial"/>
          <w:b/>
          <w:color w:val="0070C0"/>
          <w:sz w:val="24"/>
          <w:szCs w:val="20"/>
          <w:lang w:val="en-US"/>
        </w:rPr>
        <w:t xml:space="preserve">    Low growth and inflation for another two years</w:t>
      </w:r>
    </w:p>
    <w:p w14:paraId="7C9522F4" w14:textId="5C6EFA70" w:rsidR="002A4155" w:rsidRPr="005C1879" w:rsidRDefault="002A4155" w:rsidP="005C1879">
      <w:pPr>
        <w:pStyle w:val="ListParagraph"/>
        <w:spacing w:after="0" w:line="240" w:lineRule="auto"/>
        <w:ind w:left="7560"/>
        <w:rPr>
          <w:rFonts w:ascii="Arial" w:hAnsi="Arial" w:cs="Arial"/>
          <w:b/>
          <w:color w:val="0070C0"/>
          <w:sz w:val="16"/>
          <w:szCs w:val="20"/>
        </w:rPr>
        <w:sectPr w:rsidR="002A4155" w:rsidRPr="005C1879" w:rsidSect="00860D42">
          <w:footerReference w:type="default" r:id="rId8"/>
          <w:type w:val="continuous"/>
          <w:pgSz w:w="11906" w:h="16838" w:code="9"/>
          <w:pgMar w:top="795" w:right="794" w:bottom="284" w:left="794" w:header="0" w:footer="1360" w:gutter="0"/>
          <w:cols w:space="708"/>
          <w:docGrid w:linePitch="360"/>
        </w:sectPr>
      </w:pPr>
    </w:p>
    <w:p w14:paraId="4D11A613" w14:textId="2162ADED" w:rsidR="002A4155" w:rsidRPr="003D5E75" w:rsidRDefault="002A4155" w:rsidP="00970D49">
      <w:pPr>
        <w:pStyle w:val="HeadingSpecial"/>
        <w:rPr>
          <w:smallCaps/>
        </w:rPr>
        <w:sectPr w:rsidR="002A4155" w:rsidRPr="003D5E75" w:rsidSect="002A4155">
          <w:type w:val="continuous"/>
          <w:pgSz w:w="11906" w:h="16838" w:code="9"/>
          <w:pgMar w:top="1380" w:right="794" w:bottom="284" w:left="794" w:header="0" w:footer="227" w:gutter="0"/>
          <w:cols w:num="2" w:space="708"/>
          <w:docGrid w:linePitch="360"/>
        </w:sectPr>
      </w:pPr>
    </w:p>
    <w:p w14:paraId="34837714" w14:textId="708DED45" w:rsidR="00CA1279" w:rsidRPr="00D1718F" w:rsidRDefault="003D5E75" w:rsidP="00654EF7">
      <w:pPr>
        <w:spacing w:line="256" w:lineRule="auto"/>
        <w:jc w:val="both"/>
        <w:rPr>
          <w:rFonts w:ascii="Arial" w:hAnsi="Arial" w:cs="Arial"/>
          <w:b/>
          <w:smallCaps/>
          <w:sz w:val="19"/>
          <w:szCs w:val="19"/>
        </w:rPr>
      </w:pPr>
      <w:r w:rsidRPr="00D1718F">
        <w:rPr>
          <w:rFonts w:ascii="Arial" w:hAnsi="Arial" w:cs="Arial"/>
          <w:b/>
          <w:smallCaps/>
          <w:sz w:val="19"/>
          <w:szCs w:val="19"/>
        </w:rPr>
        <w:t>THE NEW</w:t>
      </w:r>
      <w:r w:rsidR="00CA1279" w:rsidRPr="00D1718F">
        <w:rPr>
          <w:rFonts w:ascii="Arial" w:hAnsi="Arial" w:cs="Arial"/>
          <w:b/>
          <w:smallCaps/>
          <w:sz w:val="19"/>
          <w:szCs w:val="19"/>
        </w:rPr>
        <w:t xml:space="preserve"> RBA </w:t>
      </w:r>
      <w:r w:rsidRPr="00D1718F">
        <w:rPr>
          <w:rFonts w:ascii="Arial" w:hAnsi="Arial" w:cs="Arial"/>
          <w:b/>
          <w:smallCaps/>
          <w:sz w:val="19"/>
          <w:szCs w:val="19"/>
        </w:rPr>
        <w:t>CHIEF</w:t>
      </w:r>
      <w:r w:rsidR="00D827A8" w:rsidRPr="00D1718F">
        <w:rPr>
          <w:rFonts w:ascii="Arial" w:hAnsi="Arial" w:cs="Arial"/>
          <w:b/>
          <w:smallCaps/>
          <w:sz w:val="19"/>
          <w:szCs w:val="19"/>
        </w:rPr>
        <w:t xml:space="preserve"> WANTS TO HAVE HER CAKE AND EAT IT TOO</w:t>
      </w:r>
    </w:p>
    <w:p w14:paraId="7A9C080E" w14:textId="3292ED21" w:rsidR="00D827A8" w:rsidRPr="00D1718F" w:rsidRDefault="007F4A9D" w:rsidP="00D827A8">
      <w:pPr>
        <w:spacing w:line="256" w:lineRule="auto"/>
        <w:jc w:val="both"/>
        <w:rPr>
          <w:rFonts w:ascii="Arial" w:hAnsi="Arial" w:cs="Arial"/>
          <w:sz w:val="19"/>
          <w:szCs w:val="19"/>
        </w:rPr>
      </w:pPr>
      <w:r w:rsidRPr="00D1718F">
        <w:rPr>
          <w:rFonts w:ascii="Arial" w:hAnsi="Arial" w:cs="Arial"/>
          <w:sz w:val="19"/>
          <w:szCs w:val="19"/>
        </w:rPr>
        <w:t xml:space="preserve">We can’t write a monthly letter and not mention some latest revelation on inflation.  </w:t>
      </w:r>
      <w:r w:rsidR="00D827A8" w:rsidRPr="00D1718F">
        <w:rPr>
          <w:rFonts w:ascii="Arial" w:hAnsi="Arial" w:cs="Arial"/>
          <w:sz w:val="19"/>
          <w:szCs w:val="19"/>
        </w:rPr>
        <w:t xml:space="preserve">The outgoing governor of the Reserve Bank of Australia (RBA), Phillip Lowe, mentioned in a recent interview that the RBA is working towards reducing inflation from the current rate of 5.6% per year to 3% by mid-2025. This target is set </w:t>
      </w:r>
      <w:r w:rsidR="00D827A8" w:rsidRPr="00D1718F">
        <w:rPr>
          <w:rFonts w:ascii="Arial" w:hAnsi="Arial" w:cs="Arial"/>
          <w:b/>
          <w:i/>
          <w:sz w:val="19"/>
          <w:szCs w:val="19"/>
        </w:rPr>
        <w:t>two years from now</w:t>
      </w:r>
      <w:r w:rsidR="00D827A8" w:rsidRPr="00D1718F">
        <w:rPr>
          <w:rFonts w:ascii="Arial" w:hAnsi="Arial" w:cs="Arial"/>
          <w:sz w:val="19"/>
          <w:szCs w:val="19"/>
        </w:rPr>
        <w:t>, although you are justified in your reluctance to fully trust the RBA's forecast due to its poor track record</w:t>
      </w:r>
    </w:p>
    <w:p w14:paraId="4DF5FD65" w14:textId="5F652D93" w:rsidR="00405595" w:rsidRPr="00D1718F" w:rsidRDefault="00405595" w:rsidP="00405595">
      <w:pPr>
        <w:spacing w:line="256" w:lineRule="auto"/>
        <w:jc w:val="both"/>
        <w:rPr>
          <w:rFonts w:ascii="Arial" w:hAnsi="Arial" w:cs="Arial"/>
          <w:sz w:val="19"/>
          <w:szCs w:val="19"/>
        </w:rPr>
      </w:pPr>
      <w:r w:rsidRPr="00D1718F">
        <w:rPr>
          <w:rFonts w:ascii="Arial" w:hAnsi="Arial" w:cs="Arial"/>
          <w:sz w:val="19"/>
          <w:szCs w:val="19"/>
        </w:rPr>
        <w:t xml:space="preserve">The interviewer pointed out that the RBA chief has been more cautious in raising interest rates compared to other countries. In response, the governor explained that the slower pace of interest rate increases was a deliberate choice to protect the gains in employment achieved in recent years. It's worth noting </w:t>
      </w:r>
      <w:r w:rsidR="00D827A8" w:rsidRPr="00D1718F">
        <w:rPr>
          <w:rFonts w:ascii="Arial" w:hAnsi="Arial" w:cs="Arial"/>
          <w:sz w:val="19"/>
          <w:szCs w:val="19"/>
        </w:rPr>
        <w:t xml:space="preserve">here </w:t>
      </w:r>
      <w:r w:rsidRPr="00D1718F">
        <w:rPr>
          <w:rFonts w:ascii="Arial" w:hAnsi="Arial" w:cs="Arial"/>
          <w:sz w:val="19"/>
          <w:szCs w:val="19"/>
        </w:rPr>
        <w:t>that Philip Lowe is expected to be succeeded by Michelle Bullock, who has been nominated from within the bank and will assume the role of governor in September.</w:t>
      </w:r>
      <w:r w:rsidRPr="00D1718F">
        <w:rPr>
          <w:rFonts w:ascii="Arial" w:hAnsi="Arial" w:cs="Arial"/>
          <w:vanish/>
          <w:sz w:val="19"/>
          <w:szCs w:val="19"/>
        </w:rPr>
        <w:t>Top of Form</w:t>
      </w:r>
    </w:p>
    <w:p w14:paraId="7106D9C4" w14:textId="77777777" w:rsidR="00405595" w:rsidRPr="00D1718F" w:rsidRDefault="00405595" w:rsidP="00405595">
      <w:pPr>
        <w:spacing w:line="256" w:lineRule="auto"/>
        <w:jc w:val="both"/>
        <w:rPr>
          <w:rFonts w:ascii="Arial" w:hAnsi="Arial" w:cs="Arial"/>
          <w:vanish/>
          <w:sz w:val="19"/>
          <w:szCs w:val="19"/>
        </w:rPr>
      </w:pPr>
      <w:r w:rsidRPr="00D1718F">
        <w:rPr>
          <w:rFonts w:ascii="Arial" w:hAnsi="Arial" w:cs="Arial"/>
          <w:vanish/>
          <w:sz w:val="19"/>
          <w:szCs w:val="19"/>
        </w:rPr>
        <w:t>Bottom of Form</w:t>
      </w:r>
    </w:p>
    <w:p w14:paraId="45BB62F9" w14:textId="7F7BCAD3" w:rsidR="00715170" w:rsidRPr="00D1718F" w:rsidRDefault="00715170" w:rsidP="00715170">
      <w:pPr>
        <w:spacing w:line="256" w:lineRule="auto"/>
        <w:jc w:val="both"/>
        <w:rPr>
          <w:rFonts w:ascii="Arial" w:hAnsi="Arial" w:cs="Arial"/>
          <w:sz w:val="19"/>
          <w:szCs w:val="19"/>
        </w:rPr>
      </w:pPr>
      <w:r w:rsidRPr="00D1718F">
        <w:rPr>
          <w:rFonts w:ascii="Arial" w:hAnsi="Arial" w:cs="Arial"/>
          <w:sz w:val="19"/>
          <w:szCs w:val="19"/>
        </w:rPr>
        <w:t xml:space="preserve">Michelle Bullock delivered a speech in June emphasizing the significance of maintaining a delicate balance between reducing inflation through interest rate hikes and fulfilling the </w:t>
      </w:r>
      <w:r w:rsidRPr="00D1718F">
        <w:rPr>
          <w:rFonts w:ascii="Arial" w:hAnsi="Arial" w:cs="Arial"/>
          <w:b/>
          <w:i/>
          <w:sz w:val="19"/>
          <w:szCs w:val="19"/>
        </w:rPr>
        <w:t>mandate of ensuring full employment</w:t>
      </w:r>
      <w:r w:rsidRPr="00D1718F">
        <w:rPr>
          <w:rFonts w:ascii="Arial" w:hAnsi="Arial" w:cs="Arial"/>
          <w:sz w:val="19"/>
          <w:szCs w:val="19"/>
        </w:rPr>
        <w:t xml:space="preserve">. From her remarks, it is evident that she is willing to </w:t>
      </w:r>
      <w:r w:rsidRPr="00D1718F">
        <w:rPr>
          <w:rFonts w:ascii="Arial" w:hAnsi="Arial" w:cs="Arial"/>
          <w:b/>
          <w:i/>
          <w:sz w:val="19"/>
          <w:szCs w:val="19"/>
        </w:rPr>
        <w:t>tolerate inflation</w:t>
      </w:r>
      <w:r w:rsidRPr="00D1718F">
        <w:rPr>
          <w:rFonts w:ascii="Arial" w:hAnsi="Arial" w:cs="Arial"/>
          <w:sz w:val="19"/>
          <w:szCs w:val="19"/>
        </w:rPr>
        <w:t xml:space="preserve"> </w:t>
      </w:r>
      <w:r w:rsidRPr="00D1718F">
        <w:rPr>
          <w:rFonts w:ascii="Arial" w:hAnsi="Arial" w:cs="Arial"/>
          <w:b/>
          <w:i/>
          <w:sz w:val="19"/>
          <w:szCs w:val="19"/>
        </w:rPr>
        <w:t>above the target for a longer period</w:t>
      </w:r>
      <w:r w:rsidR="00D827A8" w:rsidRPr="00D1718F">
        <w:rPr>
          <w:rFonts w:ascii="Arial" w:hAnsi="Arial" w:cs="Arial"/>
          <w:b/>
          <w:i/>
          <w:sz w:val="19"/>
          <w:szCs w:val="19"/>
        </w:rPr>
        <w:t>,</w:t>
      </w:r>
      <w:r w:rsidRPr="00D1718F">
        <w:rPr>
          <w:rFonts w:ascii="Arial" w:hAnsi="Arial" w:cs="Arial"/>
          <w:sz w:val="19"/>
          <w:szCs w:val="19"/>
        </w:rPr>
        <w:t xml:space="preserve"> as long as </w:t>
      </w:r>
      <w:r w:rsidR="00D827A8" w:rsidRPr="00D1718F">
        <w:rPr>
          <w:rFonts w:ascii="Arial" w:hAnsi="Arial" w:cs="Arial"/>
          <w:sz w:val="19"/>
          <w:szCs w:val="19"/>
        </w:rPr>
        <w:t>inflation</w:t>
      </w:r>
      <w:r w:rsidRPr="00D1718F">
        <w:rPr>
          <w:rFonts w:ascii="Arial" w:hAnsi="Arial" w:cs="Arial"/>
          <w:sz w:val="19"/>
          <w:szCs w:val="19"/>
        </w:rPr>
        <w:t xml:space="preserve"> shows a gradual downward trend</w:t>
      </w:r>
      <w:r w:rsidR="00D827A8" w:rsidRPr="00D1718F">
        <w:rPr>
          <w:rFonts w:ascii="Arial" w:hAnsi="Arial" w:cs="Arial"/>
          <w:sz w:val="19"/>
          <w:szCs w:val="19"/>
        </w:rPr>
        <w:t xml:space="preserve"> she will be happy it appears</w:t>
      </w:r>
      <w:r w:rsidRPr="00D1718F">
        <w:rPr>
          <w:rFonts w:ascii="Arial" w:hAnsi="Arial" w:cs="Arial"/>
          <w:sz w:val="19"/>
          <w:szCs w:val="19"/>
        </w:rPr>
        <w:t>. Both Bullock and the departing governor seem to be accepting the possibility of higher inflation persisting for an extended period while prioritizing robust employment. We endorse this sensible approach.</w:t>
      </w:r>
    </w:p>
    <w:p w14:paraId="2658E965" w14:textId="56849900" w:rsidR="00363AA2" w:rsidRPr="00D1718F" w:rsidRDefault="00363AA2" w:rsidP="00117B1C">
      <w:pPr>
        <w:spacing w:line="256" w:lineRule="auto"/>
        <w:jc w:val="both"/>
        <w:rPr>
          <w:rFonts w:ascii="Arial" w:hAnsi="Arial" w:cs="Arial"/>
          <w:sz w:val="19"/>
          <w:szCs w:val="19"/>
        </w:rPr>
      </w:pPr>
      <w:r w:rsidRPr="00D1718F">
        <w:rPr>
          <w:rFonts w:ascii="Arial" w:hAnsi="Arial" w:cs="Arial"/>
          <w:sz w:val="19"/>
          <w:szCs w:val="19"/>
        </w:rPr>
        <w:t xml:space="preserve">The other important signal coming from the RBA is that they expect the outlook for the </w:t>
      </w:r>
      <w:r w:rsidRPr="00D1718F">
        <w:rPr>
          <w:rFonts w:ascii="Arial" w:hAnsi="Arial" w:cs="Arial"/>
          <w:b/>
          <w:i/>
          <w:sz w:val="19"/>
          <w:szCs w:val="19"/>
        </w:rPr>
        <w:t>Australian econom</w:t>
      </w:r>
      <w:r w:rsidR="00715170" w:rsidRPr="00D1718F">
        <w:rPr>
          <w:rFonts w:ascii="Arial" w:hAnsi="Arial" w:cs="Arial"/>
          <w:b/>
          <w:i/>
          <w:sz w:val="19"/>
          <w:szCs w:val="19"/>
        </w:rPr>
        <w:t>ic</w:t>
      </w:r>
      <w:r w:rsidR="00715170" w:rsidRPr="00D1718F">
        <w:rPr>
          <w:rFonts w:ascii="Arial" w:hAnsi="Arial" w:cs="Arial"/>
          <w:sz w:val="19"/>
          <w:szCs w:val="19"/>
        </w:rPr>
        <w:t xml:space="preserve"> </w:t>
      </w:r>
      <w:r w:rsidR="00715170" w:rsidRPr="00D1718F">
        <w:rPr>
          <w:rFonts w:ascii="Arial" w:hAnsi="Arial" w:cs="Arial"/>
          <w:b/>
          <w:i/>
          <w:sz w:val="19"/>
          <w:szCs w:val="19"/>
        </w:rPr>
        <w:t>growth</w:t>
      </w:r>
      <w:r w:rsidRPr="00D1718F">
        <w:rPr>
          <w:rFonts w:ascii="Arial" w:hAnsi="Arial" w:cs="Arial"/>
          <w:b/>
          <w:i/>
          <w:sz w:val="19"/>
          <w:szCs w:val="19"/>
        </w:rPr>
        <w:t xml:space="preserve"> to be subdued over the next couple of years.</w:t>
      </w:r>
    </w:p>
    <w:p w14:paraId="1FDC6ABC" w14:textId="5E29BDB4" w:rsidR="00B04076" w:rsidRPr="00D1718F" w:rsidRDefault="00676069" w:rsidP="00117B1C">
      <w:pPr>
        <w:spacing w:line="256" w:lineRule="auto"/>
        <w:jc w:val="both"/>
        <w:rPr>
          <w:rFonts w:ascii="Arial" w:hAnsi="Arial" w:cs="Arial"/>
          <w:sz w:val="19"/>
          <w:szCs w:val="19"/>
        </w:rPr>
      </w:pPr>
      <w:r w:rsidRPr="00D1718F">
        <w:rPr>
          <w:rFonts w:ascii="Arial" w:hAnsi="Arial" w:cs="Arial"/>
          <w:sz w:val="19"/>
          <w:szCs w:val="19"/>
        </w:rPr>
        <w:t>All that means is that higher income return from the defensives part of your portfolio should start to feature more prominently and will stay that way for a while.</w:t>
      </w:r>
      <w:r w:rsidR="00011C6D" w:rsidRPr="00D1718F">
        <w:rPr>
          <w:rFonts w:ascii="Arial" w:hAnsi="Arial" w:cs="Arial"/>
          <w:sz w:val="19"/>
          <w:szCs w:val="19"/>
        </w:rPr>
        <w:t xml:space="preserve"> Works for us!</w:t>
      </w:r>
      <w:r w:rsidRPr="00D1718F">
        <w:rPr>
          <w:rFonts w:ascii="Arial" w:hAnsi="Arial" w:cs="Arial"/>
          <w:sz w:val="19"/>
          <w:szCs w:val="19"/>
        </w:rPr>
        <w:t xml:space="preserve">  </w:t>
      </w:r>
    </w:p>
    <w:p w14:paraId="0F656F47" w14:textId="4B58CB86" w:rsidR="00D56AEE" w:rsidRPr="00D1718F" w:rsidRDefault="00582CDD" w:rsidP="00117B1C">
      <w:pPr>
        <w:spacing w:line="256" w:lineRule="auto"/>
        <w:jc w:val="both"/>
        <w:rPr>
          <w:rFonts w:ascii="Arial" w:hAnsi="Arial" w:cs="Arial"/>
          <w:b/>
          <w:caps/>
          <w:sz w:val="19"/>
          <w:szCs w:val="19"/>
        </w:rPr>
      </w:pPr>
      <w:r w:rsidRPr="00D1718F">
        <w:rPr>
          <w:rFonts w:ascii="Arial" w:hAnsi="Arial" w:cs="Arial"/>
          <w:b/>
          <w:caps/>
          <w:sz w:val="19"/>
          <w:szCs w:val="19"/>
        </w:rPr>
        <w:t>Higher interest rates and risk to private asset values</w:t>
      </w:r>
    </w:p>
    <w:p w14:paraId="32F8CC1E" w14:textId="1239D1DD" w:rsidR="00B41608" w:rsidRPr="00D1718F" w:rsidRDefault="00B41608" w:rsidP="00B41608">
      <w:pPr>
        <w:spacing w:line="256" w:lineRule="auto"/>
        <w:jc w:val="both"/>
        <w:rPr>
          <w:rFonts w:ascii="Arial" w:hAnsi="Arial" w:cs="Arial"/>
          <w:sz w:val="19"/>
          <w:szCs w:val="19"/>
        </w:rPr>
      </w:pPr>
      <w:r w:rsidRPr="00D1718F">
        <w:rPr>
          <w:rFonts w:ascii="Arial" w:hAnsi="Arial" w:cs="Arial"/>
          <w:sz w:val="19"/>
          <w:szCs w:val="19"/>
        </w:rPr>
        <w:t>While our clients enjoy the advantage of predominantly investing in publicly listed and liquid assets with daily pricing</w:t>
      </w:r>
      <w:r w:rsidR="00D827A8" w:rsidRPr="00D1718F">
        <w:rPr>
          <w:rFonts w:ascii="Arial" w:hAnsi="Arial" w:cs="Arial"/>
          <w:sz w:val="19"/>
          <w:szCs w:val="19"/>
        </w:rPr>
        <w:t xml:space="preserve"> (meaning your investment returns are real and bankable)</w:t>
      </w:r>
      <w:r w:rsidRPr="00D1718F">
        <w:rPr>
          <w:rFonts w:ascii="Arial" w:hAnsi="Arial" w:cs="Arial"/>
          <w:sz w:val="19"/>
          <w:szCs w:val="19"/>
        </w:rPr>
        <w:t>, the same cannot be said for large institutional funds and industry super funds. These funds often allocate up to 50% of their portfolios to private assets, which lack daily pricing and rely on crude and overly optimistic book valuations. This optimistic approach artificially inflates investment returns</w:t>
      </w:r>
      <w:r w:rsidR="00405595" w:rsidRPr="00D1718F">
        <w:rPr>
          <w:rFonts w:ascii="Arial" w:hAnsi="Arial" w:cs="Arial"/>
          <w:sz w:val="19"/>
          <w:szCs w:val="19"/>
        </w:rPr>
        <w:t xml:space="preserve"> during market </w:t>
      </w:r>
      <w:r w:rsidR="00C50A1A" w:rsidRPr="00D1718F">
        <w:rPr>
          <w:rFonts w:ascii="Arial" w:hAnsi="Arial" w:cs="Arial"/>
          <w:sz w:val="19"/>
          <w:szCs w:val="19"/>
        </w:rPr>
        <w:t>downturns</w:t>
      </w:r>
      <w:r w:rsidRPr="00D1718F">
        <w:rPr>
          <w:rFonts w:ascii="Arial" w:hAnsi="Arial" w:cs="Arial"/>
          <w:sz w:val="19"/>
          <w:szCs w:val="19"/>
        </w:rPr>
        <w:t>.</w:t>
      </w:r>
    </w:p>
    <w:p w14:paraId="622118C4" w14:textId="0BB90565" w:rsidR="005C520E" w:rsidRPr="00D1718F" w:rsidRDefault="00B41608" w:rsidP="00B41608">
      <w:pPr>
        <w:spacing w:line="256" w:lineRule="auto"/>
        <w:jc w:val="both"/>
        <w:rPr>
          <w:rFonts w:ascii="Arial" w:hAnsi="Arial" w:cs="Arial"/>
          <w:sz w:val="19"/>
          <w:szCs w:val="19"/>
        </w:rPr>
      </w:pPr>
      <w:r w:rsidRPr="00D1718F">
        <w:rPr>
          <w:rFonts w:ascii="Arial" w:hAnsi="Arial" w:cs="Arial"/>
          <w:sz w:val="19"/>
          <w:szCs w:val="19"/>
        </w:rPr>
        <w:t xml:space="preserve">As interest rates </w:t>
      </w:r>
      <w:r w:rsidR="005C520E" w:rsidRPr="00D1718F">
        <w:rPr>
          <w:rFonts w:ascii="Arial" w:hAnsi="Arial" w:cs="Arial"/>
          <w:sz w:val="19"/>
          <w:szCs w:val="19"/>
        </w:rPr>
        <w:t>have continued to rise</w:t>
      </w:r>
      <w:r w:rsidRPr="00D1718F">
        <w:rPr>
          <w:rFonts w:ascii="Arial" w:hAnsi="Arial" w:cs="Arial"/>
          <w:sz w:val="19"/>
          <w:szCs w:val="19"/>
        </w:rPr>
        <w:t>, publicly listed property</w:t>
      </w:r>
      <w:r w:rsidR="00405595" w:rsidRPr="00D1718F">
        <w:rPr>
          <w:rFonts w:ascii="Arial" w:hAnsi="Arial" w:cs="Arial"/>
          <w:sz w:val="19"/>
          <w:szCs w:val="19"/>
        </w:rPr>
        <w:t xml:space="preserve"> &amp; infrastructure </w:t>
      </w:r>
      <w:r w:rsidRPr="00D1718F">
        <w:rPr>
          <w:rFonts w:ascii="Arial" w:hAnsi="Arial" w:cs="Arial"/>
          <w:sz w:val="19"/>
          <w:szCs w:val="19"/>
        </w:rPr>
        <w:t>assets on th</w:t>
      </w:r>
      <w:r w:rsidR="005C520E" w:rsidRPr="00D1718F">
        <w:rPr>
          <w:rFonts w:ascii="Arial" w:hAnsi="Arial" w:cs="Arial"/>
          <w:sz w:val="19"/>
          <w:szCs w:val="19"/>
        </w:rPr>
        <w:t xml:space="preserve">e </w:t>
      </w:r>
      <w:r w:rsidRPr="00D1718F">
        <w:rPr>
          <w:rFonts w:ascii="Arial" w:hAnsi="Arial" w:cs="Arial"/>
          <w:sz w:val="19"/>
          <w:szCs w:val="19"/>
        </w:rPr>
        <w:t>ASX</w:t>
      </w:r>
      <w:r w:rsidR="00405595" w:rsidRPr="00D1718F">
        <w:rPr>
          <w:rFonts w:ascii="Arial" w:hAnsi="Arial" w:cs="Arial"/>
          <w:sz w:val="19"/>
          <w:szCs w:val="19"/>
        </w:rPr>
        <w:t xml:space="preserve"> and other bourses</w:t>
      </w:r>
      <w:r w:rsidRPr="00D1718F">
        <w:rPr>
          <w:rFonts w:ascii="Arial" w:hAnsi="Arial" w:cs="Arial"/>
          <w:sz w:val="19"/>
          <w:szCs w:val="19"/>
        </w:rPr>
        <w:t xml:space="preserve"> have already undergone a significant repricing, dropping by 25%</w:t>
      </w:r>
      <w:r w:rsidR="00405595" w:rsidRPr="00D1718F">
        <w:rPr>
          <w:rFonts w:ascii="Arial" w:hAnsi="Arial" w:cs="Arial"/>
          <w:sz w:val="19"/>
          <w:szCs w:val="19"/>
        </w:rPr>
        <w:t xml:space="preserve"> on average</w:t>
      </w:r>
      <w:r w:rsidRPr="00D1718F">
        <w:rPr>
          <w:rFonts w:ascii="Arial" w:hAnsi="Arial" w:cs="Arial"/>
          <w:sz w:val="19"/>
          <w:szCs w:val="19"/>
        </w:rPr>
        <w:t xml:space="preserve">. However, similar assets held </w:t>
      </w:r>
      <w:r w:rsidR="00C50A1A" w:rsidRPr="00D1718F">
        <w:rPr>
          <w:rFonts w:ascii="Arial" w:hAnsi="Arial" w:cs="Arial"/>
          <w:sz w:val="19"/>
          <w:szCs w:val="19"/>
        </w:rPr>
        <w:t xml:space="preserve">as </w:t>
      </w:r>
      <w:r w:rsidR="005C520E" w:rsidRPr="00D1718F">
        <w:rPr>
          <w:rFonts w:ascii="Arial" w:hAnsi="Arial" w:cs="Arial"/>
          <w:sz w:val="19"/>
          <w:szCs w:val="19"/>
        </w:rPr>
        <w:t>private assets</w:t>
      </w:r>
      <w:r w:rsidRPr="00D1718F">
        <w:rPr>
          <w:rFonts w:ascii="Arial" w:hAnsi="Arial" w:cs="Arial"/>
          <w:sz w:val="19"/>
          <w:szCs w:val="19"/>
        </w:rPr>
        <w:t xml:space="preserve"> within large </w:t>
      </w:r>
      <w:r w:rsidR="00C50A1A" w:rsidRPr="00D1718F">
        <w:rPr>
          <w:rFonts w:ascii="Arial" w:hAnsi="Arial" w:cs="Arial"/>
          <w:sz w:val="19"/>
          <w:szCs w:val="19"/>
        </w:rPr>
        <w:t xml:space="preserve">public </w:t>
      </w:r>
      <w:r w:rsidRPr="00D1718F">
        <w:rPr>
          <w:rFonts w:ascii="Arial" w:hAnsi="Arial" w:cs="Arial"/>
          <w:sz w:val="19"/>
          <w:szCs w:val="19"/>
        </w:rPr>
        <w:t>super fund portfolios are only beginning to face downward adjustment</w:t>
      </w:r>
      <w:r w:rsidR="00C50A1A" w:rsidRPr="00D1718F">
        <w:rPr>
          <w:rFonts w:ascii="Arial" w:hAnsi="Arial" w:cs="Arial"/>
          <w:sz w:val="19"/>
          <w:szCs w:val="19"/>
        </w:rPr>
        <w:t>s.</w:t>
      </w:r>
    </w:p>
    <w:p w14:paraId="7B3B9859" w14:textId="30A4306A" w:rsidR="005C520E" w:rsidRPr="00D1718F" w:rsidRDefault="00C50A1A" w:rsidP="00C50A1A">
      <w:pPr>
        <w:spacing w:line="256" w:lineRule="auto"/>
        <w:jc w:val="both"/>
        <w:rPr>
          <w:rFonts w:ascii="Arial" w:hAnsi="Arial" w:cs="Arial"/>
          <w:sz w:val="19"/>
          <w:szCs w:val="19"/>
        </w:rPr>
      </w:pPr>
      <w:r w:rsidRPr="00D1718F">
        <w:rPr>
          <w:rFonts w:ascii="Arial" w:hAnsi="Arial" w:cs="Arial"/>
          <w:sz w:val="19"/>
          <w:szCs w:val="19"/>
        </w:rPr>
        <w:t>Since 2021, t</w:t>
      </w:r>
      <w:r w:rsidR="00405595" w:rsidRPr="00D1718F">
        <w:rPr>
          <w:rFonts w:ascii="Arial" w:hAnsi="Arial" w:cs="Arial"/>
          <w:sz w:val="19"/>
          <w:szCs w:val="19"/>
        </w:rPr>
        <w:t>hese</w:t>
      </w:r>
      <w:r w:rsidR="005C520E" w:rsidRPr="00D1718F">
        <w:rPr>
          <w:rFonts w:ascii="Arial" w:hAnsi="Arial" w:cs="Arial"/>
          <w:sz w:val="19"/>
          <w:szCs w:val="19"/>
        </w:rPr>
        <w:t xml:space="preserve"> </w:t>
      </w:r>
      <w:r w:rsidRPr="00D1718F">
        <w:rPr>
          <w:rFonts w:ascii="Arial" w:hAnsi="Arial" w:cs="Arial"/>
          <w:sz w:val="19"/>
          <w:szCs w:val="19"/>
        </w:rPr>
        <w:t xml:space="preserve">public </w:t>
      </w:r>
      <w:r w:rsidR="005C520E" w:rsidRPr="00D1718F">
        <w:rPr>
          <w:rFonts w:ascii="Arial" w:hAnsi="Arial" w:cs="Arial"/>
          <w:sz w:val="19"/>
          <w:szCs w:val="19"/>
        </w:rPr>
        <w:t xml:space="preserve">super </w:t>
      </w:r>
      <w:r w:rsidR="00405595" w:rsidRPr="00D1718F">
        <w:rPr>
          <w:rFonts w:ascii="Arial" w:hAnsi="Arial" w:cs="Arial"/>
          <w:sz w:val="19"/>
          <w:szCs w:val="19"/>
        </w:rPr>
        <w:t>funds ha</w:t>
      </w:r>
      <w:r w:rsidRPr="00D1718F">
        <w:rPr>
          <w:rFonts w:ascii="Arial" w:hAnsi="Arial" w:cs="Arial"/>
          <w:sz w:val="19"/>
          <w:szCs w:val="19"/>
        </w:rPr>
        <w:t>ve</w:t>
      </w:r>
      <w:r w:rsidR="00405595" w:rsidRPr="00D1718F">
        <w:rPr>
          <w:rFonts w:ascii="Arial" w:hAnsi="Arial" w:cs="Arial"/>
          <w:sz w:val="19"/>
          <w:szCs w:val="19"/>
        </w:rPr>
        <w:t xml:space="preserve"> been hoping</w:t>
      </w:r>
      <w:r w:rsidRPr="00D1718F">
        <w:rPr>
          <w:rFonts w:ascii="Arial" w:hAnsi="Arial" w:cs="Arial"/>
          <w:sz w:val="19"/>
          <w:szCs w:val="19"/>
        </w:rPr>
        <w:t xml:space="preserve"> (praying)</w:t>
      </w:r>
      <w:r w:rsidR="00405595" w:rsidRPr="00D1718F">
        <w:rPr>
          <w:rFonts w:ascii="Arial" w:hAnsi="Arial" w:cs="Arial"/>
          <w:sz w:val="19"/>
          <w:szCs w:val="19"/>
        </w:rPr>
        <w:t xml:space="preserve"> that </w:t>
      </w:r>
      <w:r w:rsidR="005C520E" w:rsidRPr="00D1718F">
        <w:rPr>
          <w:rFonts w:ascii="Arial" w:hAnsi="Arial" w:cs="Arial"/>
          <w:sz w:val="19"/>
          <w:szCs w:val="19"/>
        </w:rPr>
        <w:t xml:space="preserve">higher </w:t>
      </w:r>
      <w:r w:rsidR="00405595" w:rsidRPr="00D1718F">
        <w:rPr>
          <w:rFonts w:ascii="Arial" w:hAnsi="Arial" w:cs="Arial"/>
          <w:sz w:val="19"/>
          <w:szCs w:val="19"/>
        </w:rPr>
        <w:t xml:space="preserve">inflation will be brought </w:t>
      </w:r>
      <w:r w:rsidR="005C520E" w:rsidRPr="00D1718F">
        <w:rPr>
          <w:rFonts w:ascii="Arial" w:hAnsi="Arial" w:cs="Arial"/>
          <w:sz w:val="19"/>
          <w:szCs w:val="19"/>
        </w:rPr>
        <w:t>back to target range of 2-3%</w:t>
      </w:r>
      <w:r w:rsidR="00405595" w:rsidRPr="00D1718F">
        <w:rPr>
          <w:rFonts w:ascii="Arial" w:hAnsi="Arial" w:cs="Arial"/>
          <w:sz w:val="19"/>
          <w:szCs w:val="19"/>
        </w:rPr>
        <w:t xml:space="preserve"> </w:t>
      </w:r>
      <w:r w:rsidR="005C520E" w:rsidRPr="00D1718F">
        <w:rPr>
          <w:rFonts w:ascii="Arial" w:hAnsi="Arial" w:cs="Arial"/>
          <w:sz w:val="19"/>
          <w:szCs w:val="19"/>
        </w:rPr>
        <w:t xml:space="preserve">p.a. </w:t>
      </w:r>
      <w:r w:rsidR="00405595" w:rsidRPr="00D1718F">
        <w:rPr>
          <w:rFonts w:ascii="Arial" w:hAnsi="Arial" w:cs="Arial"/>
          <w:sz w:val="19"/>
          <w:szCs w:val="19"/>
        </w:rPr>
        <w:t>by central banks relatively quickly and interest rates will not remain high for long</w:t>
      </w:r>
      <w:r w:rsidR="005C520E" w:rsidRPr="00D1718F">
        <w:rPr>
          <w:rFonts w:ascii="Arial" w:hAnsi="Arial" w:cs="Arial"/>
          <w:sz w:val="19"/>
          <w:szCs w:val="19"/>
        </w:rPr>
        <w:t xml:space="preserve"> and so there will not be a need for </w:t>
      </w:r>
      <w:r w:rsidRPr="00D1718F">
        <w:rPr>
          <w:rFonts w:ascii="Arial" w:hAnsi="Arial" w:cs="Arial"/>
          <w:sz w:val="19"/>
          <w:szCs w:val="19"/>
        </w:rPr>
        <w:t xml:space="preserve">them to make negative </w:t>
      </w:r>
      <w:r w:rsidR="005C520E" w:rsidRPr="00D1718F">
        <w:rPr>
          <w:rFonts w:ascii="Arial" w:hAnsi="Arial" w:cs="Arial"/>
          <w:sz w:val="19"/>
          <w:szCs w:val="19"/>
        </w:rPr>
        <w:t xml:space="preserve">adjustment </w:t>
      </w:r>
      <w:r w:rsidRPr="00D1718F">
        <w:rPr>
          <w:rFonts w:ascii="Arial" w:hAnsi="Arial" w:cs="Arial"/>
          <w:sz w:val="19"/>
          <w:szCs w:val="19"/>
        </w:rPr>
        <w:t>to</w:t>
      </w:r>
      <w:r w:rsidR="005C520E" w:rsidRPr="00D1718F">
        <w:rPr>
          <w:rFonts w:ascii="Arial" w:hAnsi="Arial" w:cs="Arial"/>
          <w:sz w:val="19"/>
          <w:szCs w:val="19"/>
        </w:rPr>
        <w:t xml:space="preserve"> private asset values.  </w:t>
      </w:r>
      <w:r w:rsidRPr="00D1718F">
        <w:rPr>
          <w:rFonts w:ascii="Arial" w:hAnsi="Arial" w:cs="Arial"/>
          <w:sz w:val="19"/>
          <w:szCs w:val="19"/>
        </w:rPr>
        <w:t>However, it is now expected that higher inflation and interest rates will persist for the next few years, or possibly even longer. This is concerning because it will have a negative effect on the values of private assets.</w:t>
      </w:r>
    </w:p>
    <w:p w14:paraId="0DBB593E" w14:textId="4A55B168" w:rsidR="00B41608" w:rsidRPr="00D1718F" w:rsidRDefault="005C520E" w:rsidP="00B41608">
      <w:pPr>
        <w:spacing w:line="256" w:lineRule="auto"/>
        <w:jc w:val="both"/>
        <w:rPr>
          <w:rFonts w:ascii="Arial" w:hAnsi="Arial" w:cs="Arial"/>
          <w:sz w:val="19"/>
          <w:szCs w:val="19"/>
        </w:rPr>
      </w:pPr>
      <w:r w:rsidRPr="00D1718F">
        <w:rPr>
          <w:rFonts w:ascii="Arial" w:hAnsi="Arial" w:cs="Arial"/>
          <w:sz w:val="19"/>
          <w:szCs w:val="19"/>
        </w:rPr>
        <w:t xml:space="preserve">As you </w:t>
      </w:r>
      <w:r w:rsidR="00BF5A15" w:rsidRPr="00D1718F">
        <w:rPr>
          <w:rFonts w:ascii="Arial" w:hAnsi="Arial" w:cs="Arial"/>
          <w:sz w:val="19"/>
          <w:szCs w:val="19"/>
        </w:rPr>
        <w:t>can glean</w:t>
      </w:r>
      <w:r w:rsidRPr="00D1718F">
        <w:rPr>
          <w:rFonts w:ascii="Arial" w:hAnsi="Arial" w:cs="Arial"/>
          <w:sz w:val="19"/>
          <w:szCs w:val="19"/>
        </w:rPr>
        <w:t xml:space="preserve"> from the evolving RBA narrative</w:t>
      </w:r>
      <w:r w:rsidR="00BF5A15" w:rsidRPr="00D1718F">
        <w:rPr>
          <w:rFonts w:ascii="Arial" w:hAnsi="Arial" w:cs="Arial"/>
          <w:sz w:val="19"/>
          <w:szCs w:val="19"/>
        </w:rPr>
        <w:t xml:space="preserve"> mentioned earlier in this read t</w:t>
      </w:r>
      <w:r w:rsidR="00D1718F">
        <w:rPr>
          <w:rFonts w:ascii="Arial" w:hAnsi="Arial" w:cs="Arial"/>
          <w:sz w:val="19"/>
          <w:szCs w:val="19"/>
        </w:rPr>
        <w:t>hat it too expects higher inflation to</w:t>
      </w:r>
      <w:r w:rsidRPr="00D1718F">
        <w:rPr>
          <w:rFonts w:ascii="Arial" w:hAnsi="Arial" w:cs="Arial"/>
          <w:sz w:val="19"/>
          <w:szCs w:val="19"/>
        </w:rPr>
        <w:t xml:space="preserve"> mid 2025</w:t>
      </w:r>
      <w:r w:rsidR="00BF5A15" w:rsidRPr="00D1718F">
        <w:rPr>
          <w:rFonts w:ascii="Arial" w:hAnsi="Arial" w:cs="Arial"/>
          <w:sz w:val="19"/>
          <w:szCs w:val="19"/>
        </w:rPr>
        <w:t xml:space="preserve">.  </w:t>
      </w:r>
      <w:r w:rsidR="00BF5A15" w:rsidRPr="00D1718F">
        <w:rPr>
          <w:rFonts w:ascii="Arial" w:hAnsi="Arial" w:cs="Arial"/>
          <w:sz w:val="19"/>
          <w:szCs w:val="19"/>
        </w:rPr>
        <w:t xml:space="preserve">Similar projections on inflation have started to echo from the US Federal Reserve and European central bank. </w:t>
      </w:r>
      <w:r w:rsidR="00BF5A15" w:rsidRPr="00D1718F">
        <w:rPr>
          <w:rFonts w:ascii="Arial" w:hAnsi="Arial" w:cs="Arial"/>
          <w:sz w:val="19"/>
          <w:szCs w:val="19"/>
        </w:rPr>
        <w:t>This evolving narrative on inflation</w:t>
      </w:r>
      <w:r w:rsidRPr="00D1718F">
        <w:rPr>
          <w:rFonts w:ascii="Arial" w:hAnsi="Arial" w:cs="Arial"/>
          <w:sz w:val="19"/>
          <w:szCs w:val="19"/>
        </w:rPr>
        <w:t xml:space="preserve"> carries with it the inference that interest rates</w:t>
      </w:r>
      <w:r w:rsidR="00D1718F">
        <w:rPr>
          <w:rFonts w:ascii="Arial" w:hAnsi="Arial" w:cs="Arial"/>
          <w:sz w:val="19"/>
          <w:szCs w:val="19"/>
        </w:rPr>
        <w:t xml:space="preserve"> </w:t>
      </w:r>
      <w:r w:rsidRPr="00D1718F">
        <w:rPr>
          <w:rFonts w:ascii="Arial" w:hAnsi="Arial" w:cs="Arial"/>
          <w:sz w:val="19"/>
          <w:szCs w:val="19"/>
        </w:rPr>
        <w:t>will also remain higher for longer</w:t>
      </w:r>
      <w:r w:rsidR="00BF5A15" w:rsidRPr="00D1718F">
        <w:rPr>
          <w:rFonts w:ascii="Arial" w:hAnsi="Arial" w:cs="Arial"/>
          <w:sz w:val="19"/>
          <w:szCs w:val="19"/>
        </w:rPr>
        <w:t>.</w:t>
      </w:r>
      <w:r w:rsidRPr="00D1718F">
        <w:rPr>
          <w:rFonts w:ascii="Arial" w:hAnsi="Arial" w:cs="Arial"/>
          <w:sz w:val="19"/>
          <w:szCs w:val="19"/>
        </w:rPr>
        <w:t xml:space="preserve"> </w:t>
      </w:r>
      <w:r w:rsidR="00D1718F">
        <w:rPr>
          <w:rFonts w:ascii="Arial" w:hAnsi="Arial" w:cs="Arial"/>
          <w:sz w:val="19"/>
          <w:szCs w:val="19"/>
        </w:rPr>
        <w:t>This</w:t>
      </w:r>
      <w:r w:rsidRPr="00D1718F">
        <w:rPr>
          <w:rFonts w:ascii="Arial" w:hAnsi="Arial" w:cs="Arial"/>
          <w:sz w:val="19"/>
          <w:szCs w:val="19"/>
        </w:rPr>
        <w:t xml:space="preserve"> translate</w:t>
      </w:r>
      <w:r w:rsidR="00D1718F">
        <w:rPr>
          <w:rFonts w:ascii="Arial" w:hAnsi="Arial" w:cs="Arial"/>
          <w:sz w:val="19"/>
          <w:szCs w:val="19"/>
        </w:rPr>
        <w:t>s</w:t>
      </w:r>
      <w:r w:rsidRPr="00D1718F">
        <w:rPr>
          <w:rFonts w:ascii="Arial" w:hAnsi="Arial" w:cs="Arial"/>
          <w:sz w:val="19"/>
          <w:szCs w:val="19"/>
        </w:rPr>
        <w:t xml:space="preserve"> to </w:t>
      </w:r>
      <w:r w:rsidR="00D1718F">
        <w:rPr>
          <w:rFonts w:ascii="Arial" w:hAnsi="Arial" w:cs="Arial"/>
          <w:sz w:val="19"/>
          <w:szCs w:val="19"/>
        </w:rPr>
        <w:t xml:space="preserve">valuations of </w:t>
      </w:r>
      <w:r w:rsidRPr="00D1718F">
        <w:rPr>
          <w:rFonts w:ascii="Arial" w:hAnsi="Arial" w:cs="Arial"/>
          <w:sz w:val="19"/>
          <w:szCs w:val="19"/>
        </w:rPr>
        <w:t xml:space="preserve">private </w:t>
      </w:r>
      <w:r w:rsidR="00D1718F">
        <w:rPr>
          <w:rFonts w:ascii="Arial" w:hAnsi="Arial" w:cs="Arial"/>
          <w:sz w:val="19"/>
          <w:szCs w:val="19"/>
        </w:rPr>
        <w:t>assets to come under pressure</w:t>
      </w:r>
      <w:r w:rsidRPr="00D1718F">
        <w:rPr>
          <w:rFonts w:ascii="Arial" w:hAnsi="Arial" w:cs="Arial"/>
          <w:sz w:val="19"/>
          <w:szCs w:val="19"/>
        </w:rPr>
        <w:t>.</w:t>
      </w:r>
      <w:r w:rsidR="00BF5A15" w:rsidRPr="00D1718F">
        <w:rPr>
          <w:rFonts w:ascii="Arial" w:hAnsi="Arial" w:cs="Arial"/>
          <w:sz w:val="19"/>
          <w:szCs w:val="19"/>
        </w:rPr>
        <w:t xml:space="preserve"> Trustees of </w:t>
      </w:r>
      <w:r w:rsidR="00D1718F">
        <w:rPr>
          <w:rFonts w:ascii="Arial" w:hAnsi="Arial" w:cs="Arial"/>
          <w:sz w:val="19"/>
          <w:szCs w:val="19"/>
        </w:rPr>
        <w:t>public</w:t>
      </w:r>
      <w:r w:rsidR="00BF5A15" w:rsidRPr="00D1718F">
        <w:rPr>
          <w:rFonts w:ascii="Arial" w:hAnsi="Arial" w:cs="Arial"/>
          <w:sz w:val="19"/>
          <w:szCs w:val="19"/>
        </w:rPr>
        <w:t xml:space="preserve"> </w:t>
      </w:r>
      <w:r w:rsidR="00D1718F">
        <w:rPr>
          <w:rFonts w:ascii="Arial" w:hAnsi="Arial" w:cs="Arial"/>
          <w:sz w:val="19"/>
          <w:szCs w:val="19"/>
        </w:rPr>
        <w:t>s</w:t>
      </w:r>
      <w:r w:rsidR="00BF5A15" w:rsidRPr="00D1718F">
        <w:rPr>
          <w:rFonts w:ascii="Arial" w:hAnsi="Arial" w:cs="Arial"/>
          <w:sz w:val="19"/>
          <w:szCs w:val="19"/>
        </w:rPr>
        <w:t>uper funds will come under pressure from APRA (the regulator) to start getting real about the inflated book values of their investment portfolios.</w:t>
      </w:r>
      <w:r w:rsidRPr="00D1718F">
        <w:rPr>
          <w:rFonts w:ascii="Arial" w:hAnsi="Arial" w:cs="Arial"/>
          <w:sz w:val="19"/>
          <w:szCs w:val="19"/>
        </w:rPr>
        <w:t xml:space="preserve">  </w:t>
      </w:r>
    </w:p>
    <w:p w14:paraId="675B57CB" w14:textId="0A3A2693" w:rsidR="00B41608" w:rsidRPr="00D1718F" w:rsidRDefault="00B41608" w:rsidP="00B41608">
      <w:pPr>
        <w:spacing w:line="256" w:lineRule="auto"/>
        <w:jc w:val="both"/>
        <w:rPr>
          <w:rFonts w:ascii="Arial" w:hAnsi="Arial" w:cs="Arial"/>
          <w:sz w:val="19"/>
          <w:szCs w:val="19"/>
        </w:rPr>
      </w:pPr>
      <w:r w:rsidRPr="00D1718F">
        <w:rPr>
          <w:rFonts w:ascii="Arial" w:hAnsi="Arial" w:cs="Arial"/>
          <w:sz w:val="19"/>
          <w:szCs w:val="19"/>
        </w:rPr>
        <w:t xml:space="preserve">Investing in private assets comes with inherent risks, particularly due to valuation </w:t>
      </w:r>
      <w:r w:rsidRPr="00D1718F">
        <w:rPr>
          <w:rFonts w:ascii="Arial" w:hAnsi="Arial" w:cs="Arial"/>
          <w:b/>
          <w:i/>
          <w:sz w:val="19"/>
          <w:szCs w:val="19"/>
        </w:rPr>
        <w:t>write-downs that occur with a lag effect</w:t>
      </w:r>
      <w:r w:rsidRPr="00D1718F">
        <w:rPr>
          <w:rFonts w:ascii="Arial" w:hAnsi="Arial" w:cs="Arial"/>
          <w:sz w:val="19"/>
          <w:szCs w:val="19"/>
        </w:rPr>
        <w:t xml:space="preserve">. Private assets offer less transparency and rely on </w:t>
      </w:r>
      <w:r w:rsidRPr="00D1718F">
        <w:rPr>
          <w:rFonts w:ascii="Arial" w:hAnsi="Arial" w:cs="Arial"/>
          <w:b/>
          <w:i/>
          <w:sz w:val="19"/>
          <w:szCs w:val="19"/>
        </w:rPr>
        <w:t>subjective valuations</w:t>
      </w:r>
      <w:r w:rsidRPr="00D1718F">
        <w:rPr>
          <w:rFonts w:ascii="Arial" w:hAnsi="Arial" w:cs="Arial"/>
          <w:sz w:val="19"/>
          <w:szCs w:val="19"/>
        </w:rPr>
        <w:t xml:space="preserve"> compared to publicly traded assets. Initial valuations may be overly optimistic, leading to a </w:t>
      </w:r>
      <w:r w:rsidRPr="00D1718F">
        <w:rPr>
          <w:rFonts w:ascii="Arial" w:hAnsi="Arial" w:cs="Arial"/>
          <w:b/>
          <w:i/>
          <w:sz w:val="19"/>
          <w:szCs w:val="19"/>
        </w:rPr>
        <w:t>distorted representation of true value</w:t>
      </w:r>
      <w:r w:rsidR="00BF5A15" w:rsidRPr="00D1718F">
        <w:rPr>
          <w:rFonts w:ascii="Arial" w:hAnsi="Arial" w:cs="Arial"/>
          <w:sz w:val="19"/>
          <w:szCs w:val="19"/>
        </w:rPr>
        <w:t xml:space="preserve"> of public super fund portfolios</w:t>
      </w:r>
      <w:r w:rsidRPr="00D1718F">
        <w:rPr>
          <w:rFonts w:ascii="Arial" w:hAnsi="Arial" w:cs="Arial"/>
          <w:sz w:val="19"/>
          <w:szCs w:val="19"/>
        </w:rPr>
        <w:t>.</w:t>
      </w:r>
    </w:p>
    <w:p w14:paraId="3643F065" w14:textId="77777777" w:rsidR="00B41608" w:rsidRPr="00D1718F" w:rsidRDefault="00B41608" w:rsidP="00B41608">
      <w:pPr>
        <w:spacing w:line="256" w:lineRule="auto"/>
        <w:jc w:val="both"/>
        <w:rPr>
          <w:rFonts w:ascii="Arial" w:hAnsi="Arial" w:cs="Arial"/>
          <w:b/>
          <w:i/>
          <w:sz w:val="19"/>
          <w:szCs w:val="19"/>
        </w:rPr>
      </w:pPr>
      <w:r w:rsidRPr="00D1718F">
        <w:rPr>
          <w:rFonts w:ascii="Arial" w:hAnsi="Arial" w:cs="Arial"/>
          <w:sz w:val="19"/>
          <w:szCs w:val="19"/>
        </w:rPr>
        <w:t xml:space="preserve">The lag effect refers to the </w:t>
      </w:r>
      <w:r w:rsidRPr="00D1718F">
        <w:rPr>
          <w:rFonts w:ascii="Arial" w:hAnsi="Arial" w:cs="Arial"/>
          <w:b/>
          <w:i/>
          <w:sz w:val="19"/>
          <w:szCs w:val="19"/>
        </w:rPr>
        <w:t>delay in adjusting valuations to reflect an asset's actual worth</w:t>
      </w:r>
      <w:r w:rsidRPr="00D1718F">
        <w:rPr>
          <w:rFonts w:ascii="Arial" w:hAnsi="Arial" w:cs="Arial"/>
          <w:sz w:val="19"/>
          <w:szCs w:val="19"/>
        </w:rPr>
        <w:t xml:space="preserve">. </w:t>
      </w:r>
      <w:r w:rsidRPr="00D1718F">
        <w:rPr>
          <w:rFonts w:ascii="Arial" w:hAnsi="Arial" w:cs="Arial"/>
          <w:b/>
          <w:i/>
          <w:sz w:val="19"/>
          <w:szCs w:val="19"/>
        </w:rPr>
        <w:t>This delay can result in investors holding overvalued assets, which eventually leads to reduced returns when valuation adjustments are finally made.</w:t>
      </w:r>
    </w:p>
    <w:p w14:paraId="6FE1E793" w14:textId="6BAEC097" w:rsidR="00B41608" w:rsidRPr="00BB3183" w:rsidRDefault="00BF5A15" w:rsidP="00B41608">
      <w:pPr>
        <w:spacing w:line="256" w:lineRule="auto"/>
        <w:jc w:val="both"/>
        <w:rPr>
          <w:rFonts w:ascii="Arial" w:hAnsi="Arial" w:cs="Arial"/>
          <w:sz w:val="18"/>
          <w:szCs w:val="19"/>
        </w:rPr>
      </w:pPr>
      <w:r w:rsidRPr="00BB3183">
        <w:rPr>
          <w:rFonts w:ascii="Arial" w:hAnsi="Arial" w:cs="Arial"/>
          <w:sz w:val="18"/>
          <w:szCs w:val="19"/>
        </w:rPr>
        <w:t>C</w:t>
      </w:r>
      <w:r w:rsidR="00B41608" w:rsidRPr="00BB3183">
        <w:rPr>
          <w:rFonts w:ascii="Arial" w:hAnsi="Arial" w:cs="Arial"/>
          <w:sz w:val="18"/>
          <w:szCs w:val="19"/>
        </w:rPr>
        <w:t>olumbia University research predicts a long-lasting crisis for New York offices, projecting a 44% loss in pre-pandemic value by 2029 due to the impact of remote work</w:t>
      </w:r>
      <w:r w:rsidR="00BB4821" w:rsidRPr="00BB3183">
        <w:rPr>
          <w:rFonts w:ascii="Arial" w:hAnsi="Arial" w:cs="Arial"/>
          <w:sz w:val="18"/>
          <w:szCs w:val="19"/>
        </w:rPr>
        <w:t xml:space="preserve">, </w:t>
      </w:r>
      <w:r w:rsidR="00B41608" w:rsidRPr="00BB3183">
        <w:rPr>
          <w:rFonts w:ascii="Arial" w:hAnsi="Arial" w:cs="Arial"/>
          <w:sz w:val="18"/>
          <w:szCs w:val="19"/>
        </w:rPr>
        <w:t>high vacancy rates</w:t>
      </w:r>
      <w:r w:rsidR="00BB4821" w:rsidRPr="00BB3183">
        <w:rPr>
          <w:rFonts w:ascii="Arial" w:hAnsi="Arial" w:cs="Arial"/>
          <w:sz w:val="18"/>
          <w:szCs w:val="19"/>
        </w:rPr>
        <w:t>, costly repositioning of assets to residential</w:t>
      </w:r>
      <w:r w:rsidR="00B41608" w:rsidRPr="00BB3183">
        <w:rPr>
          <w:rFonts w:ascii="Arial" w:hAnsi="Arial" w:cs="Arial"/>
          <w:sz w:val="18"/>
          <w:szCs w:val="19"/>
        </w:rPr>
        <w:t xml:space="preserve"> </w:t>
      </w:r>
      <w:r w:rsidR="00BB4821" w:rsidRPr="00BB3183">
        <w:rPr>
          <w:rFonts w:ascii="Arial" w:hAnsi="Arial" w:cs="Arial"/>
          <w:sz w:val="18"/>
          <w:szCs w:val="19"/>
        </w:rPr>
        <w:t xml:space="preserve">due to funding now at </w:t>
      </w:r>
      <w:r w:rsidR="00B41608" w:rsidRPr="00BB3183">
        <w:rPr>
          <w:rFonts w:ascii="Arial" w:hAnsi="Arial" w:cs="Arial"/>
          <w:sz w:val="18"/>
          <w:szCs w:val="19"/>
        </w:rPr>
        <w:t>high interest rates</w:t>
      </w:r>
      <w:r w:rsidR="00BB4821" w:rsidRPr="00BB3183">
        <w:rPr>
          <w:rFonts w:ascii="Arial" w:hAnsi="Arial" w:cs="Arial"/>
          <w:sz w:val="18"/>
          <w:szCs w:val="19"/>
        </w:rPr>
        <w:t>.</w:t>
      </w:r>
    </w:p>
    <w:p w14:paraId="602CB28E" w14:textId="52840654" w:rsidR="00B04076" w:rsidRPr="00BB3183" w:rsidRDefault="00BF5A15" w:rsidP="00117B1C">
      <w:pPr>
        <w:spacing w:line="256" w:lineRule="auto"/>
        <w:jc w:val="both"/>
        <w:rPr>
          <w:rFonts w:ascii="Arial" w:hAnsi="Arial" w:cs="Arial"/>
          <w:sz w:val="18"/>
          <w:szCs w:val="19"/>
        </w:rPr>
      </w:pPr>
      <w:r w:rsidRPr="00BB3183">
        <w:rPr>
          <w:rFonts w:ascii="Arial" w:hAnsi="Arial" w:cs="Arial"/>
          <w:sz w:val="18"/>
          <w:szCs w:val="19"/>
        </w:rPr>
        <w:t xml:space="preserve">It is for these </w:t>
      </w:r>
      <w:proofErr w:type="gramStart"/>
      <w:r w:rsidRPr="00BB3183">
        <w:rPr>
          <w:rFonts w:ascii="Arial" w:hAnsi="Arial" w:cs="Arial"/>
          <w:sz w:val="18"/>
          <w:szCs w:val="19"/>
        </w:rPr>
        <w:t>reasons</w:t>
      </w:r>
      <w:proofErr w:type="gramEnd"/>
      <w:r w:rsidRPr="00BB3183">
        <w:rPr>
          <w:rFonts w:ascii="Arial" w:hAnsi="Arial" w:cs="Arial"/>
          <w:sz w:val="18"/>
          <w:szCs w:val="19"/>
        </w:rPr>
        <w:t xml:space="preserve"> investors should be cautious in investing in public super funds and unlisted private assets (property, equity, and debt).  Stick to listed markets or if private assets are to be used in portfolios they should be limited and</w:t>
      </w:r>
      <w:r w:rsidR="00C50A1A" w:rsidRPr="00BB3183">
        <w:rPr>
          <w:rFonts w:ascii="Arial" w:hAnsi="Arial" w:cs="Arial"/>
          <w:sz w:val="18"/>
          <w:szCs w:val="19"/>
        </w:rPr>
        <w:t>/or</w:t>
      </w:r>
      <w:r w:rsidRPr="00BB3183">
        <w:rPr>
          <w:rFonts w:ascii="Arial" w:hAnsi="Arial" w:cs="Arial"/>
          <w:sz w:val="18"/>
          <w:szCs w:val="19"/>
        </w:rPr>
        <w:t xml:space="preserve"> have a sound investment thesis justifying their use in portfolio</w:t>
      </w:r>
      <w:bookmarkStart w:id="0" w:name="_GoBack"/>
      <w:bookmarkEnd w:id="0"/>
      <w:r w:rsidRPr="00BB3183">
        <w:rPr>
          <w:rFonts w:ascii="Arial" w:hAnsi="Arial" w:cs="Arial"/>
          <w:sz w:val="18"/>
          <w:szCs w:val="19"/>
        </w:rPr>
        <w:t xml:space="preserve">s.  </w:t>
      </w:r>
    </w:p>
    <w:p w14:paraId="61178130" w14:textId="7DFED8D4" w:rsidR="00321EF7" w:rsidRPr="00BF3DCF" w:rsidRDefault="003A7196" w:rsidP="00BF3DCF">
      <w:pPr>
        <w:spacing w:line="256" w:lineRule="auto"/>
        <w:jc w:val="both"/>
        <w:rPr>
          <w:rFonts w:ascii="Arial" w:eastAsia="Times New Roman" w:hAnsi="Arial" w:cs="Arial"/>
          <w:sz w:val="18"/>
          <w:szCs w:val="18"/>
        </w:rPr>
      </w:pPr>
      <w:r w:rsidRPr="0044289D">
        <w:rPr>
          <w:b/>
        </w:rPr>
        <w:lastRenderedPageBreak/>
        <w:t>GLOBAL MARKETS OVERVIEW</w:t>
      </w:r>
    </w:p>
    <w:p w14:paraId="35229007" w14:textId="19F7E243" w:rsidR="00321EF7" w:rsidRDefault="00BF3DCF" w:rsidP="003A7196">
      <w:pPr>
        <w:pStyle w:val="HeadingSpecial"/>
        <w:rPr>
          <w:sz w:val="18"/>
        </w:rPr>
      </w:pPr>
      <w:r>
        <w:rPr>
          <w:noProof/>
          <w:sz w:val="18"/>
        </w:rPr>
        <w:drawing>
          <wp:inline distT="0" distB="0" distL="0" distR="0" wp14:anchorId="55AFD8CA" wp14:editId="3B5ACD52">
            <wp:extent cx="3051175" cy="5285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3-07-20 at 9.06.59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51175" cy="5285105"/>
                    </a:xfrm>
                    <a:prstGeom prst="rect">
                      <a:avLst/>
                    </a:prstGeom>
                  </pic:spPr>
                </pic:pic>
              </a:graphicData>
            </a:graphic>
          </wp:inline>
        </w:drawing>
      </w:r>
    </w:p>
    <w:p w14:paraId="41E3A347" w14:textId="77777777" w:rsidR="00BF3DCF" w:rsidRDefault="00BF3DCF" w:rsidP="00577B38">
      <w:pPr>
        <w:pStyle w:val="HeadingSpecial"/>
        <w:rPr>
          <w:sz w:val="18"/>
        </w:rPr>
      </w:pPr>
    </w:p>
    <w:p w14:paraId="46347D47" w14:textId="77777777" w:rsidR="00BF3DCF" w:rsidRDefault="00BF3DCF" w:rsidP="00BF3DCF">
      <w:pPr>
        <w:pStyle w:val="HeadingSpecial"/>
        <w:rPr>
          <w:caps/>
        </w:rPr>
      </w:pPr>
      <w:r>
        <w:rPr>
          <w:caps/>
        </w:rPr>
        <w:t>Economic News</w:t>
      </w:r>
    </w:p>
    <w:p w14:paraId="5A31DE92" w14:textId="77777777" w:rsidR="00BF3DCF" w:rsidRDefault="00BF3DCF" w:rsidP="00577B38">
      <w:pPr>
        <w:pStyle w:val="HeadingSpecial"/>
        <w:rPr>
          <w:sz w:val="18"/>
        </w:rPr>
      </w:pPr>
    </w:p>
    <w:p w14:paraId="42DB7C5A" w14:textId="726B2C16" w:rsidR="0003422B" w:rsidRDefault="00105949" w:rsidP="00577B38">
      <w:pPr>
        <w:pStyle w:val="HeadingSpecial"/>
        <w:rPr>
          <w:b w:val="0"/>
          <w:sz w:val="18"/>
        </w:rPr>
      </w:pPr>
      <w:r w:rsidRPr="00105949">
        <w:rPr>
          <w:sz w:val="18"/>
        </w:rPr>
        <w:t xml:space="preserve">• </w:t>
      </w:r>
      <w:r w:rsidR="00E04FCF">
        <w:rPr>
          <w:sz w:val="18"/>
        </w:rPr>
        <w:t xml:space="preserve">In </w:t>
      </w:r>
      <w:r w:rsidR="00E04FCF" w:rsidRPr="00E04FCF">
        <w:rPr>
          <w:sz w:val="18"/>
        </w:rPr>
        <w:t>Australia</w:t>
      </w:r>
      <w:r w:rsidR="00AC244D">
        <w:t xml:space="preserve">, </w:t>
      </w:r>
      <w:r w:rsidR="00AC244D">
        <w:rPr>
          <w:b w:val="0"/>
          <w:sz w:val="18"/>
        </w:rPr>
        <w:t>i</w:t>
      </w:r>
      <w:r w:rsidR="00AC244D" w:rsidRPr="00AC244D">
        <w:rPr>
          <w:b w:val="0"/>
          <w:sz w:val="18"/>
        </w:rPr>
        <w:t>n an unexpected move, the Reserve Bank of Australia (RBA) raised its key interest rate by 25 basis points (0.25%) to 4.1%, marking the highest level seen since April 2012. This latest increase adds to the cumulative tightening of 400 basis points (4%) implemented since May 2022. The RBA remains open to the possibility of further rate hikes, expressing concerns that tighter policy is necessary to ensure a confident return of inflation to the target level by mid-2025.</w:t>
      </w:r>
    </w:p>
    <w:p w14:paraId="14874965" w14:textId="251775D8" w:rsidR="00AC244D" w:rsidRDefault="00AC244D" w:rsidP="00577B38">
      <w:pPr>
        <w:pStyle w:val="HeadingSpecial"/>
        <w:rPr>
          <w:b w:val="0"/>
          <w:sz w:val="18"/>
        </w:rPr>
      </w:pPr>
    </w:p>
    <w:p w14:paraId="52AF23CF" w14:textId="77777777" w:rsidR="00AC244D" w:rsidRPr="00AC244D" w:rsidRDefault="00AC244D" w:rsidP="00AC244D">
      <w:pPr>
        <w:pStyle w:val="HeadingSpecial"/>
        <w:rPr>
          <w:b w:val="0"/>
          <w:sz w:val="18"/>
        </w:rPr>
      </w:pPr>
      <w:r w:rsidRPr="00AC244D">
        <w:rPr>
          <w:b w:val="0"/>
          <w:sz w:val="18"/>
        </w:rPr>
        <w:t>The economy experienced a slower-than-expected growth in the first quarter of 2023, with the gross domestic product (GDP) expanding by 0.2% compared to the previous quarter and 2.3% year-on-year. This represents the weakest three-month expansion since September 2021.</w:t>
      </w:r>
    </w:p>
    <w:p w14:paraId="08E313ED" w14:textId="77777777" w:rsidR="00AC244D" w:rsidRPr="00AC244D" w:rsidRDefault="00AC244D" w:rsidP="00AC244D">
      <w:pPr>
        <w:pStyle w:val="HeadingSpecial"/>
        <w:rPr>
          <w:b w:val="0"/>
          <w:sz w:val="18"/>
        </w:rPr>
      </w:pPr>
    </w:p>
    <w:p w14:paraId="23FD96DD" w14:textId="6DDE6C06" w:rsidR="00AC244D" w:rsidRPr="00AC244D" w:rsidRDefault="00AC244D" w:rsidP="00AC244D">
      <w:pPr>
        <w:pStyle w:val="HeadingSpecial"/>
        <w:rPr>
          <w:b w:val="0"/>
          <w:sz w:val="18"/>
        </w:rPr>
      </w:pPr>
      <w:r w:rsidRPr="00AC244D">
        <w:rPr>
          <w:b w:val="0"/>
          <w:sz w:val="18"/>
        </w:rPr>
        <w:t>Consumer confidence showed a slight improvement in June, rising by 0.2% month-on-month. However, it remained at levels considered close to recession lows, indicating a somewhat stabilized but still cautious sentiment among consumers.</w:t>
      </w:r>
    </w:p>
    <w:p w14:paraId="791781DA" w14:textId="77777777" w:rsidR="0003422B" w:rsidRDefault="0003422B" w:rsidP="00577B38">
      <w:pPr>
        <w:pStyle w:val="HeadingSpecial"/>
        <w:rPr>
          <w:b w:val="0"/>
          <w:sz w:val="18"/>
        </w:rPr>
      </w:pPr>
    </w:p>
    <w:p w14:paraId="69561C2A" w14:textId="4666799B" w:rsidR="00FF3B93" w:rsidRPr="00FF3B93" w:rsidRDefault="00E04FCF" w:rsidP="00FF3B93">
      <w:pPr>
        <w:pStyle w:val="HeadingSpecial"/>
        <w:rPr>
          <w:b w:val="0"/>
          <w:sz w:val="18"/>
        </w:rPr>
      </w:pPr>
      <w:r w:rsidRPr="00FF3B93">
        <w:rPr>
          <w:b w:val="0"/>
          <w:sz w:val="18"/>
        </w:rPr>
        <w:t xml:space="preserve">• </w:t>
      </w:r>
      <w:r w:rsidR="00FF3B93" w:rsidRPr="00FF3B93">
        <w:rPr>
          <w:sz w:val="18"/>
        </w:rPr>
        <w:t xml:space="preserve">The US </w:t>
      </w:r>
      <w:r w:rsidR="00FF3B93" w:rsidRPr="00FF3B93">
        <w:rPr>
          <w:b w:val="0"/>
          <w:sz w:val="18"/>
        </w:rPr>
        <w:t xml:space="preserve">markets showed strength, with the Dow Jones rising by 4.6% and the S&amp;P 500 up by 6.5%. The Federal Reserve upgraded its 2023 US GDP forecasts by 60 basis points (0.60%), now projecting a growth rate of 1%. </w:t>
      </w:r>
      <w:r w:rsidR="00FF3B93" w:rsidRPr="00FF3B93">
        <w:rPr>
          <w:b w:val="0"/>
          <w:sz w:val="18"/>
        </w:rPr>
        <w:t>Additionally, the Fed forecasts GDP growth of 1.1% for 2024 and 1.8% for 2025. On the inflation front, the Fed lowered its 2023 Personal Consumption Expenditures (PCE) inflation rate forecast by 10 basis points (0.10%) to 3.2%, while increasing projections for core inflation.</w:t>
      </w:r>
    </w:p>
    <w:p w14:paraId="64540E04" w14:textId="77777777" w:rsidR="00FF3B93" w:rsidRPr="00FF3B93" w:rsidRDefault="00FF3B93" w:rsidP="00FF3B93">
      <w:pPr>
        <w:pStyle w:val="HeadingSpecial"/>
        <w:rPr>
          <w:b w:val="0"/>
          <w:sz w:val="18"/>
        </w:rPr>
      </w:pPr>
    </w:p>
    <w:p w14:paraId="27835D16" w14:textId="77777777" w:rsidR="00FF3B93" w:rsidRPr="00FF3B93" w:rsidRDefault="00FF3B93" w:rsidP="00FF3B93">
      <w:pPr>
        <w:pStyle w:val="HeadingSpecial"/>
        <w:rPr>
          <w:b w:val="0"/>
          <w:sz w:val="18"/>
        </w:rPr>
      </w:pPr>
      <w:r w:rsidRPr="00FF3B93">
        <w:rPr>
          <w:b w:val="0"/>
          <w:sz w:val="18"/>
        </w:rPr>
        <w:t xml:space="preserve">Long-dated US treasury yields experienced an increase, with the 2-year yield reaching 4.898% and the 10-year yield at 3.84%. The Federal Reserve kept the benchmark interest rate unchanged at 5-5.25%. However, the Fed indicated that borrowing costs are expected to rise to 5.6% by the end of the year, a </w:t>
      </w:r>
      <w:proofErr w:type="gramStart"/>
      <w:r w:rsidRPr="00FF3B93">
        <w:rPr>
          <w:b w:val="0"/>
          <w:sz w:val="18"/>
        </w:rPr>
        <w:t>50 basis</w:t>
      </w:r>
      <w:proofErr w:type="gramEnd"/>
      <w:r w:rsidRPr="00FF3B93">
        <w:rPr>
          <w:b w:val="0"/>
          <w:sz w:val="18"/>
        </w:rPr>
        <w:t xml:space="preserve"> point (0.50%) increase from previous projections. Fed Chair Jerome Powell emphasized that it would be a "couple of years" before the Fed considers cutting rates and stated that two more rate hikes this year are a reasonable expectation. This led to the market fully pricing in another </w:t>
      </w:r>
      <w:proofErr w:type="gramStart"/>
      <w:r w:rsidRPr="00FF3B93">
        <w:rPr>
          <w:b w:val="0"/>
          <w:sz w:val="18"/>
        </w:rPr>
        <w:t>25 basis</w:t>
      </w:r>
      <w:proofErr w:type="gramEnd"/>
      <w:r w:rsidRPr="00FF3B93">
        <w:rPr>
          <w:b w:val="0"/>
          <w:sz w:val="18"/>
        </w:rPr>
        <w:t xml:space="preserve"> point (0.25%) increase at the September meeting, with the possibility of a further increase in November, and no rate cuts expected in 2023.</w:t>
      </w:r>
    </w:p>
    <w:p w14:paraId="7BE17B28" w14:textId="51634B8C" w:rsidR="00AA55BB" w:rsidRDefault="00AA55BB" w:rsidP="00FF3B93">
      <w:pPr>
        <w:pStyle w:val="HeadingSpecial"/>
        <w:rPr>
          <w:b w:val="0"/>
          <w:sz w:val="18"/>
        </w:rPr>
      </w:pPr>
    </w:p>
    <w:p w14:paraId="4CD46B13" w14:textId="77777777" w:rsidR="00382110" w:rsidRPr="00FE5D9E" w:rsidRDefault="00382110" w:rsidP="005F6486">
      <w:pPr>
        <w:pStyle w:val="HeadingSpecial"/>
        <w:rPr>
          <w:b w:val="0"/>
          <w:sz w:val="18"/>
        </w:rPr>
      </w:pPr>
    </w:p>
    <w:p w14:paraId="3BA28F86" w14:textId="77777777" w:rsidR="00FF3B93" w:rsidRPr="00FF3B93" w:rsidRDefault="00952158" w:rsidP="00FF3B93">
      <w:pPr>
        <w:pStyle w:val="HeadingSpecial"/>
        <w:rPr>
          <w:b w:val="0"/>
          <w:sz w:val="18"/>
        </w:rPr>
      </w:pPr>
      <w:r w:rsidRPr="00952158">
        <w:rPr>
          <w:sz w:val="18"/>
        </w:rPr>
        <w:t xml:space="preserve">• </w:t>
      </w:r>
      <w:r w:rsidR="00706214">
        <w:rPr>
          <w:sz w:val="18"/>
        </w:rPr>
        <w:t xml:space="preserve">In </w:t>
      </w:r>
      <w:r w:rsidR="0003422B">
        <w:rPr>
          <w:sz w:val="18"/>
        </w:rPr>
        <w:t>China</w:t>
      </w:r>
      <w:r w:rsidR="00706214" w:rsidRPr="00706214">
        <w:rPr>
          <w:sz w:val="18"/>
        </w:rPr>
        <w:t xml:space="preserve"> </w:t>
      </w:r>
      <w:r w:rsidR="0003422B">
        <w:rPr>
          <w:sz w:val="18"/>
        </w:rPr>
        <w:t xml:space="preserve">– </w:t>
      </w:r>
      <w:r w:rsidR="00FF3B93" w:rsidRPr="00FF3B93">
        <w:rPr>
          <w:b w:val="0"/>
          <w:sz w:val="18"/>
        </w:rPr>
        <w:t>The economy faced further challenges in June as manufacturing activity contracted for the third consecutive month. Additionally, home sales took a sharp decline, with the value of new home sales by the 100 largest real estate developers falling by 28.1% year-on-year to 526.74 billion yuan.</w:t>
      </w:r>
    </w:p>
    <w:p w14:paraId="618B99D2" w14:textId="08799700" w:rsidR="0003422B" w:rsidRDefault="0003422B" w:rsidP="00706214">
      <w:pPr>
        <w:pStyle w:val="HeadingSpecial"/>
        <w:rPr>
          <w:b w:val="0"/>
          <w:sz w:val="18"/>
        </w:rPr>
      </w:pPr>
    </w:p>
    <w:p w14:paraId="1E090B2D" w14:textId="77777777" w:rsidR="00382110" w:rsidRPr="00706214" w:rsidRDefault="00382110" w:rsidP="00706214">
      <w:pPr>
        <w:pStyle w:val="HeadingSpecial"/>
        <w:rPr>
          <w:sz w:val="18"/>
        </w:rPr>
      </w:pPr>
    </w:p>
    <w:p w14:paraId="44F2DEBD" w14:textId="77777777" w:rsidR="0057241F" w:rsidRPr="0057241F" w:rsidRDefault="00706214" w:rsidP="0057241F">
      <w:pPr>
        <w:pStyle w:val="HeadingSpecial"/>
        <w:rPr>
          <w:b w:val="0"/>
          <w:sz w:val="18"/>
        </w:rPr>
      </w:pPr>
      <w:r w:rsidRPr="00706214">
        <w:rPr>
          <w:sz w:val="18"/>
        </w:rPr>
        <w:t>•</w:t>
      </w:r>
      <w:r>
        <w:rPr>
          <w:sz w:val="18"/>
        </w:rPr>
        <w:t xml:space="preserve"> </w:t>
      </w:r>
      <w:r w:rsidR="0057241F" w:rsidRPr="0057241F">
        <w:rPr>
          <w:sz w:val="18"/>
        </w:rPr>
        <w:t xml:space="preserve">Asian markets </w:t>
      </w:r>
      <w:r w:rsidR="0057241F" w:rsidRPr="0057241F">
        <w:rPr>
          <w:b w:val="0"/>
          <w:sz w:val="18"/>
        </w:rPr>
        <w:t>showed a mixed performance in recent trading sessions. The Shanghai Composite experienced a modest decline of 0.1%. This decrease came as Chinese banks made a relatively small reduction in the mortgage reference rate, with both the 1-year and 5-year LPR (Loan Prime Rate) being lowered by 10 basis points (0.10%) to 3.55% and 4.2% respectively. Additionally, concerns about the weakening economy persisted as China's stimulus rollout faced delays, with the State Council refraining from releasing specific proposals and stating that the government is studying new measures to be implemented in a timely manner. Despite these concerns, the People's Bank of China (PBOC) reduced the seven-day reverse repurchase rate by 10 basis points to 1.9%, marking the first rate cut since August 2022.</w:t>
      </w:r>
    </w:p>
    <w:p w14:paraId="3F5E7E35" w14:textId="77777777" w:rsidR="0057241F" w:rsidRPr="0057241F" w:rsidRDefault="0057241F" w:rsidP="0057241F">
      <w:pPr>
        <w:pStyle w:val="HeadingSpecial"/>
        <w:rPr>
          <w:b w:val="0"/>
          <w:sz w:val="18"/>
        </w:rPr>
      </w:pPr>
    </w:p>
    <w:p w14:paraId="3457D580" w14:textId="7AAF66FE" w:rsidR="0057241F" w:rsidRDefault="0057241F" w:rsidP="0057241F">
      <w:pPr>
        <w:pStyle w:val="HeadingSpecial"/>
        <w:rPr>
          <w:b w:val="0"/>
          <w:sz w:val="18"/>
        </w:rPr>
      </w:pPr>
      <w:r w:rsidRPr="0057241F">
        <w:rPr>
          <w:b w:val="0"/>
          <w:sz w:val="18"/>
        </w:rPr>
        <w:t>Meanwhile, the KOSPI index in South Korea declined by 0.5% as BOK Governor Rhee Chang-</w:t>
      </w:r>
      <w:proofErr w:type="spellStart"/>
      <w:r w:rsidRPr="0057241F">
        <w:rPr>
          <w:b w:val="0"/>
          <w:sz w:val="18"/>
        </w:rPr>
        <w:t>yong</w:t>
      </w:r>
      <w:proofErr w:type="spellEnd"/>
      <w:r w:rsidRPr="0057241F">
        <w:rPr>
          <w:b w:val="0"/>
          <w:sz w:val="18"/>
        </w:rPr>
        <w:t xml:space="preserve"> expressed concerns about growing risks in the financial sector, citing an increase in delinquencies of real estate loans. On the other hand, the Nikkei index in Japan witnessed a gain of 7.5% during the same period.</w:t>
      </w:r>
    </w:p>
    <w:p w14:paraId="360F1CD4" w14:textId="7CD1C2E9" w:rsidR="0057241F" w:rsidRDefault="0057241F" w:rsidP="0057241F">
      <w:pPr>
        <w:pStyle w:val="HeadingSpecial"/>
        <w:rPr>
          <w:b w:val="0"/>
          <w:sz w:val="18"/>
        </w:rPr>
      </w:pPr>
    </w:p>
    <w:p w14:paraId="791832FC" w14:textId="7CB369F3" w:rsidR="0057241F" w:rsidRDefault="0057241F" w:rsidP="0057241F">
      <w:pPr>
        <w:pStyle w:val="HeadingSpecial"/>
        <w:rPr>
          <w:b w:val="0"/>
          <w:sz w:val="18"/>
        </w:rPr>
      </w:pPr>
      <w:r w:rsidRPr="00706214">
        <w:rPr>
          <w:sz w:val="18"/>
        </w:rPr>
        <w:t>•</w:t>
      </w:r>
      <w:r>
        <w:rPr>
          <w:sz w:val="18"/>
        </w:rPr>
        <w:t xml:space="preserve"> </w:t>
      </w:r>
      <w:r w:rsidRPr="0057241F">
        <w:rPr>
          <w:sz w:val="18"/>
        </w:rPr>
        <w:t xml:space="preserve">The European Central Bank </w:t>
      </w:r>
      <w:r w:rsidRPr="0057241F">
        <w:rPr>
          <w:b w:val="0"/>
          <w:sz w:val="18"/>
        </w:rPr>
        <w:t>(ECB) has increased interest rates by 25 basis points (0.25%) to reach 3.5%, the highest level seen in more than two decades. ECB President Christine Lagarde has indicated that another rate hike in July is highly likely. The bank's latest quarterly projections suggest that inflation will moderate at a slower pace than previously expected, reaching 2.2% in 2025.</w:t>
      </w:r>
    </w:p>
    <w:p w14:paraId="09F48751" w14:textId="77777777" w:rsidR="0057241F" w:rsidRPr="0057241F" w:rsidRDefault="0057241F" w:rsidP="0057241F">
      <w:pPr>
        <w:pStyle w:val="HeadingSpecial"/>
        <w:rPr>
          <w:b w:val="0"/>
          <w:sz w:val="18"/>
        </w:rPr>
      </w:pPr>
    </w:p>
    <w:p w14:paraId="3068DADE" w14:textId="351059B3" w:rsidR="0057241F" w:rsidRDefault="0057241F" w:rsidP="0057241F">
      <w:pPr>
        <w:pStyle w:val="HeadingSpecial"/>
        <w:rPr>
          <w:b w:val="0"/>
          <w:sz w:val="18"/>
        </w:rPr>
      </w:pPr>
      <w:r w:rsidRPr="0057241F">
        <w:rPr>
          <w:b w:val="0"/>
          <w:sz w:val="18"/>
        </w:rPr>
        <w:t>Despite experiencing a mild recession in the first quarter of 2023, with a 0.1% quarter-on-quarter contraction (up 1% year-on-year), the euro area saw a decline in inflation during June. Consumer Price Index (CPI) rose by 5.5% year-on-year, the lowest level since before the war in Ukraine began. However, core CPI, which excludes volatile components, re-accelerated, rising by 5.4% year-on-year, primarily driven by an increase in the cost of services.</w:t>
      </w:r>
    </w:p>
    <w:p w14:paraId="4F4DF4C1" w14:textId="77777777" w:rsidR="0057241F" w:rsidRPr="0057241F" w:rsidRDefault="0057241F" w:rsidP="0057241F">
      <w:pPr>
        <w:pStyle w:val="HeadingSpecial"/>
        <w:rPr>
          <w:b w:val="0"/>
          <w:sz w:val="18"/>
        </w:rPr>
      </w:pPr>
    </w:p>
    <w:p w14:paraId="4BA1E230" w14:textId="3496AD1C" w:rsidR="00BF42D1" w:rsidRDefault="0057241F" w:rsidP="0057241F">
      <w:pPr>
        <w:pStyle w:val="HeadingSpecial"/>
        <w:rPr>
          <w:b w:val="0"/>
          <w:sz w:val="18"/>
        </w:rPr>
      </w:pPr>
      <w:r w:rsidRPr="0057241F">
        <w:rPr>
          <w:b w:val="0"/>
          <w:sz w:val="18"/>
        </w:rPr>
        <w:t xml:space="preserve">Economic momentum in the euro area slowed significantly in June, with manufacturing remaining the primary weak spot. </w:t>
      </w:r>
    </w:p>
    <w:p w14:paraId="137BCEAF" w14:textId="77777777" w:rsidR="0057241F" w:rsidRDefault="0057241F" w:rsidP="0057241F">
      <w:pPr>
        <w:pStyle w:val="HeadingSpecial"/>
        <w:rPr>
          <w:caps/>
        </w:rPr>
      </w:pPr>
    </w:p>
    <w:p w14:paraId="74682F0B" w14:textId="4AD6CE9C" w:rsidR="00A36599" w:rsidRDefault="00A36599" w:rsidP="00395A8D">
      <w:pPr>
        <w:pStyle w:val="HeadingSpecial"/>
        <w:rPr>
          <w:sz w:val="18"/>
        </w:rPr>
      </w:pPr>
      <w:r w:rsidRPr="0025388B">
        <w:rPr>
          <w:sz w:val="18"/>
          <w:highlight w:val="lightGray"/>
        </w:rPr>
        <w:lastRenderedPageBreak/>
        <w:t>THE LONG READ</w:t>
      </w:r>
    </w:p>
    <w:p w14:paraId="5BE1BF57" w14:textId="77777777" w:rsidR="00A36599" w:rsidRPr="00AB59A9" w:rsidRDefault="00A36599" w:rsidP="00A36599">
      <w:pPr>
        <w:pStyle w:val="HeadingSpecial"/>
        <w:rPr>
          <w:caps/>
          <w:sz w:val="18"/>
        </w:rPr>
      </w:pPr>
    </w:p>
    <w:p w14:paraId="209C031C" w14:textId="68DEBAC5" w:rsidR="0057241F" w:rsidRPr="001477FE" w:rsidRDefault="0057241F" w:rsidP="0057241F">
      <w:pPr>
        <w:rPr>
          <w:b/>
        </w:rPr>
      </w:pPr>
      <w:r w:rsidRPr="001477FE">
        <w:rPr>
          <w:b/>
        </w:rPr>
        <w:t>Demographic Destiny: A Game-Changer for Smart Investors</w:t>
      </w:r>
    </w:p>
    <w:p w14:paraId="7CFB646C" w14:textId="43B01466" w:rsidR="0057241F" w:rsidRPr="0057241F" w:rsidRDefault="0057241F" w:rsidP="0057241F">
      <w:pPr>
        <w:jc w:val="both"/>
        <w:rPr>
          <w:rFonts w:ascii="Arial" w:hAnsi="Arial" w:cs="Arial"/>
          <w:sz w:val="18"/>
          <w:szCs w:val="20"/>
        </w:rPr>
      </w:pPr>
      <w:r w:rsidRPr="0057241F">
        <w:rPr>
          <w:rFonts w:ascii="Arial" w:hAnsi="Arial" w:cs="Arial"/>
          <w:sz w:val="18"/>
          <w:szCs w:val="20"/>
        </w:rPr>
        <w:t xml:space="preserve">The global phenomenon of aging populations poses significant challenges to countries around the world. The burden of an aging demographic has far-reaching consequences on various aspects of society, including supply of labour and inflation, lower economic growth, fiscal instability of government budgets leading to forever more government borrowing and risks to their credit ratings, and weaker geopolitical influence.  These consequences need to considered when allocating capital to different markets in investment portfolios.  </w:t>
      </w:r>
    </w:p>
    <w:p w14:paraId="20F8453A" w14:textId="6696C05D" w:rsidR="0057241F" w:rsidRPr="0057241F" w:rsidRDefault="0057241F" w:rsidP="0057241F">
      <w:pPr>
        <w:jc w:val="both"/>
        <w:rPr>
          <w:rFonts w:ascii="Arial" w:hAnsi="Arial" w:cs="Arial"/>
          <w:sz w:val="18"/>
          <w:szCs w:val="20"/>
        </w:rPr>
      </w:pPr>
      <w:r w:rsidRPr="0057241F">
        <w:rPr>
          <w:rFonts w:ascii="Arial" w:hAnsi="Arial" w:cs="Arial"/>
          <w:sz w:val="18"/>
          <w:szCs w:val="20"/>
        </w:rPr>
        <w:t>In this article, I will present key arguments surrounding demographic challenges ahead that appear to weigh in favour of United States, Australia, and India compared to Germany, Japan, and China which look decisively weaker. Let’s explore key indicators such as demographic profiles, labour market dynamics, economic resilience, and geopolitical influence to see why I have arrived at above conclusion.</w:t>
      </w:r>
    </w:p>
    <w:p w14:paraId="6F847B2A" w14:textId="77777777" w:rsidR="0057241F" w:rsidRDefault="0057241F" w:rsidP="0057241F">
      <w:pPr>
        <w:rPr>
          <w:b/>
        </w:rPr>
      </w:pPr>
      <w:r w:rsidRPr="003676AA">
        <w:rPr>
          <w:b/>
        </w:rPr>
        <w:t>Demographic Profiles</w:t>
      </w:r>
    </w:p>
    <w:p w14:paraId="6DB239AB" w14:textId="0E0E6347" w:rsidR="0057241F" w:rsidRPr="0057241F" w:rsidRDefault="0057241F" w:rsidP="0057241F">
      <w:pPr>
        <w:jc w:val="both"/>
        <w:rPr>
          <w:rFonts w:ascii="Arial" w:hAnsi="Arial" w:cs="Arial"/>
          <w:sz w:val="18"/>
          <w:szCs w:val="20"/>
        </w:rPr>
      </w:pPr>
      <w:r w:rsidRPr="0057241F">
        <w:rPr>
          <w:rFonts w:ascii="Arial" w:hAnsi="Arial" w:cs="Arial"/>
          <w:sz w:val="18"/>
          <w:szCs w:val="20"/>
        </w:rPr>
        <w:t>Understanding the age structure and population trends of different countries is crucial in evaluating the burden of aging demographics. The great industrial powers of Germany, Japan, and China are currently facing significant demographic challenges characterized by low birth rates, declining populations, and rapidly aging societies. China’s population is both ageing and decreasing with projections of a decrease by 48 million, or around 2.7%, between 2019 and 2050.  Additionally, according to the United Nations World Population Prospects, these countries are projected to have older populations with median ages exceeding 50 by 2050.</w:t>
      </w:r>
    </w:p>
    <w:p w14:paraId="6DA91C8F" w14:textId="4BC2DFBE" w:rsidR="0057241F" w:rsidRPr="0057241F" w:rsidRDefault="0057241F" w:rsidP="0057241F">
      <w:pPr>
        <w:jc w:val="both"/>
        <w:rPr>
          <w:rFonts w:ascii="Arial" w:hAnsi="Arial" w:cs="Arial"/>
          <w:sz w:val="18"/>
          <w:szCs w:val="20"/>
        </w:rPr>
      </w:pPr>
      <w:r w:rsidRPr="0057241F">
        <w:rPr>
          <w:rFonts w:ascii="Arial" w:hAnsi="Arial" w:cs="Arial"/>
          <w:sz w:val="18"/>
          <w:szCs w:val="20"/>
        </w:rPr>
        <w:t xml:space="preserve">In contrast, the United States, Australia, and India display more favourable demographic profiles. While they also face the challenges of aging populations, their demographic advantages are notable. The United States and Australia have relatively higher birth rates, 12.0 per 1,000 and 12.1 per 1,000 respectively, and younger populations compared to Germany (9.3), Japan (7.0), and China (10.6). Similarly, India has a large and growing population at 17.0 births per 1,000, with a median age projected to be only 38 by 2050. </w:t>
      </w:r>
    </w:p>
    <w:p w14:paraId="5817B1C5" w14:textId="006966BB" w:rsidR="0057241F" w:rsidRPr="0057241F" w:rsidRDefault="0057241F" w:rsidP="0057241F">
      <w:pPr>
        <w:jc w:val="both"/>
        <w:rPr>
          <w:rFonts w:ascii="Arial" w:hAnsi="Arial" w:cs="Arial"/>
          <w:sz w:val="18"/>
          <w:szCs w:val="20"/>
        </w:rPr>
      </w:pPr>
      <w:r w:rsidRPr="0057241F">
        <w:rPr>
          <w:rFonts w:ascii="Arial" w:hAnsi="Arial" w:cs="Arial"/>
          <w:sz w:val="18"/>
          <w:szCs w:val="20"/>
        </w:rPr>
        <w:t xml:space="preserve">These demographic advantages provide the US, Australia, and India with larger potential workforces and a greater capacity for economic productivity. </w:t>
      </w:r>
    </w:p>
    <w:p w14:paraId="200BB83F" w14:textId="77777777" w:rsidR="0057241F" w:rsidRDefault="0057241F" w:rsidP="0057241F">
      <w:r>
        <w:rPr>
          <w:b/>
        </w:rPr>
        <w:t>Labour</w:t>
      </w:r>
      <w:r w:rsidRPr="003676AA">
        <w:rPr>
          <w:b/>
        </w:rPr>
        <w:t xml:space="preserve"> Market Dynamics</w:t>
      </w:r>
    </w:p>
    <w:p w14:paraId="56550D41" w14:textId="405EA4FA" w:rsidR="0057241F" w:rsidRPr="0057241F" w:rsidRDefault="0057241F" w:rsidP="0057241F">
      <w:pPr>
        <w:jc w:val="both"/>
        <w:rPr>
          <w:rFonts w:ascii="Arial" w:hAnsi="Arial" w:cs="Arial"/>
          <w:sz w:val="18"/>
          <w:szCs w:val="20"/>
        </w:rPr>
      </w:pPr>
      <w:r w:rsidRPr="0057241F">
        <w:rPr>
          <w:rFonts w:ascii="Arial" w:hAnsi="Arial" w:cs="Arial"/>
          <w:sz w:val="18"/>
          <w:szCs w:val="20"/>
        </w:rPr>
        <w:t>The labour market dynamics play a crucial role in determining a country's ability to address the challenges of an aging demographic. Shrinking workforces and labour shortages can hinder economic growth and productivity. However, the United States, Australia, and India, with their younger populations, are better positioned to sustain labour market stability and mitigate the negative effects of demographic shifts.</w:t>
      </w:r>
    </w:p>
    <w:p w14:paraId="1481B3C7" w14:textId="09EBCFFC" w:rsidR="0057241F" w:rsidRPr="0057241F" w:rsidRDefault="0057241F" w:rsidP="0057241F">
      <w:pPr>
        <w:jc w:val="both"/>
        <w:rPr>
          <w:rFonts w:ascii="Arial" w:hAnsi="Arial" w:cs="Arial"/>
          <w:sz w:val="18"/>
          <w:szCs w:val="20"/>
        </w:rPr>
      </w:pPr>
      <w:r w:rsidRPr="0057241F">
        <w:rPr>
          <w:rFonts w:ascii="Arial" w:hAnsi="Arial" w:cs="Arial"/>
          <w:sz w:val="18"/>
          <w:szCs w:val="20"/>
        </w:rPr>
        <w:t xml:space="preserve">According to the Bureau of Labour Statistics, the United States has maintained a relatively high labour force participation rate compared to Germany, Japan, and China. Australia has also demonstrated a higher labour force </w:t>
      </w:r>
      <w:r w:rsidRPr="0057241F">
        <w:rPr>
          <w:rFonts w:ascii="Arial" w:hAnsi="Arial" w:cs="Arial"/>
          <w:sz w:val="18"/>
          <w:szCs w:val="20"/>
        </w:rPr>
        <w:t xml:space="preserve">participation rate, bolstered by robust immigration policies. India's growing population provides a significant workforce potential. </w:t>
      </w:r>
    </w:p>
    <w:p w14:paraId="352E4703" w14:textId="36969CC3" w:rsidR="0057241F" w:rsidRPr="0057241F" w:rsidRDefault="0057241F" w:rsidP="0057241F">
      <w:pPr>
        <w:jc w:val="both"/>
        <w:rPr>
          <w:rFonts w:ascii="Arial" w:hAnsi="Arial" w:cs="Arial"/>
          <w:sz w:val="18"/>
          <w:szCs w:val="20"/>
        </w:rPr>
      </w:pPr>
      <w:r w:rsidRPr="0057241F">
        <w:rPr>
          <w:rFonts w:ascii="Arial" w:hAnsi="Arial" w:cs="Arial"/>
          <w:sz w:val="18"/>
          <w:szCs w:val="20"/>
        </w:rPr>
        <w:t>These factors indicate a larger proportion of the population actively contributing to the labour market, thus supporting economic output and mitigating potential labour shortages.</w:t>
      </w:r>
    </w:p>
    <w:p w14:paraId="48BE08CB" w14:textId="3F21C9D4" w:rsidR="0057241F" w:rsidRPr="0057241F" w:rsidRDefault="0057241F" w:rsidP="0057241F">
      <w:pPr>
        <w:jc w:val="both"/>
        <w:rPr>
          <w:rFonts w:ascii="Arial" w:hAnsi="Arial" w:cs="Arial"/>
          <w:sz w:val="18"/>
          <w:szCs w:val="20"/>
        </w:rPr>
      </w:pPr>
      <w:r w:rsidRPr="0057241F">
        <w:rPr>
          <w:rFonts w:ascii="Arial" w:hAnsi="Arial" w:cs="Arial"/>
          <w:sz w:val="18"/>
          <w:szCs w:val="20"/>
        </w:rPr>
        <w:t>Specifically, when there are more people who can work, it means there are more hands and minds to do the job. This can make the economy stronger because there are more people available to produce goods and offer services. Having a bigger potential workforce also means that there are more people who can learn new things and come up with fresh ideas. This can lead to innovation and help businesses grow and create new products and services.</w:t>
      </w:r>
    </w:p>
    <w:p w14:paraId="7D9C8C4E" w14:textId="601BE00E" w:rsidR="0057241F" w:rsidRPr="0057241F" w:rsidRDefault="0057241F" w:rsidP="0057241F">
      <w:pPr>
        <w:jc w:val="both"/>
        <w:rPr>
          <w:rFonts w:ascii="Arial" w:hAnsi="Arial" w:cs="Arial"/>
          <w:sz w:val="18"/>
          <w:szCs w:val="20"/>
        </w:rPr>
      </w:pPr>
      <w:r w:rsidRPr="0057241F">
        <w:rPr>
          <w:rFonts w:ascii="Arial" w:hAnsi="Arial" w:cs="Arial"/>
          <w:sz w:val="18"/>
          <w:szCs w:val="20"/>
        </w:rPr>
        <w:t>So, in the United States, Australia, and India, having a large and relatively younger potential workforce can help their economies become stronger and more productive. It's like having a big team of people working together to make things and make the country better.</w:t>
      </w:r>
    </w:p>
    <w:p w14:paraId="43DB8354" w14:textId="6E73A77D" w:rsidR="0057241F" w:rsidRPr="0057241F" w:rsidRDefault="0057241F" w:rsidP="0057241F">
      <w:pPr>
        <w:rPr>
          <w:b/>
        </w:rPr>
      </w:pPr>
      <w:r w:rsidRPr="00CE2517">
        <w:rPr>
          <w:b/>
        </w:rPr>
        <w:t>Economic Resilience</w:t>
      </w:r>
    </w:p>
    <w:p w14:paraId="4B06A264" w14:textId="286F6955" w:rsidR="0057241F" w:rsidRPr="0057241F" w:rsidRDefault="0057241F" w:rsidP="0057241F">
      <w:pPr>
        <w:jc w:val="both"/>
        <w:rPr>
          <w:rFonts w:ascii="Arial" w:hAnsi="Arial" w:cs="Arial"/>
          <w:sz w:val="18"/>
          <w:szCs w:val="20"/>
        </w:rPr>
      </w:pPr>
      <w:r w:rsidRPr="0057241F">
        <w:rPr>
          <w:rFonts w:ascii="Arial" w:hAnsi="Arial" w:cs="Arial"/>
          <w:sz w:val="18"/>
          <w:szCs w:val="20"/>
        </w:rPr>
        <w:t>The economic resilience of a country in the face of aging demographics is critical to managing the associated burdens. Germany, Japan, and China confront the challenge of sustaining economic growth and managing public finances amidst rising healthcare and pension costs. These countries may experience reduced economic growth rates and increased fiscal pressure, which can strain government budgets and hinder public investments.</w:t>
      </w:r>
    </w:p>
    <w:p w14:paraId="407B8209" w14:textId="5528991A" w:rsidR="0057241F" w:rsidRPr="0057241F" w:rsidRDefault="0057241F" w:rsidP="0057241F">
      <w:pPr>
        <w:jc w:val="both"/>
        <w:rPr>
          <w:rFonts w:ascii="Arial" w:hAnsi="Arial" w:cs="Arial"/>
          <w:sz w:val="18"/>
          <w:szCs w:val="20"/>
        </w:rPr>
      </w:pPr>
      <w:r w:rsidRPr="0057241F">
        <w:rPr>
          <w:rFonts w:ascii="Arial" w:hAnsi="Arial" w:cs="Arial"/>
          <w:sz w:val="18"/>
          <w:szCs w:val="20"/>
        </w:rPr>
        <w:t>In contrast, the United States, Australia, and India exhibit greater economic resilience. According to the International Monetary Fund (IMF), these countries have projected economic growth rates that outperform many other advanced economies. The IMF also highlights the positive correlation between demographic factors such as labour force growth and economic performance. The US and Australia, with their younger populations and robust labour markets, have the potential for sustained growth. India, with its large and dynamic workforce, offers significant economic opportunities.</w:t>
      </w:r>
    </w:p>
    <w:p w14:paraId="5D387619" w14:textId="77777777" w:rsidR="0057241F" w:rsidRDefault="0057241F" w:rsidP="0057241F">
      <w:r w:rsidRPr="003676AA">
        <w:rPr>
          <w:b/>
        </w:rPr>
        <w:t>Geopolitical Influence</w:t>
      </w:r>
      <w:r w:rsidRPr="003676AA">
        <w:t xml:space="preserve"> </w:t>
      </w:r>
    </w:p>
    <w:p w14:paraId="549586BD" w14:textId="1C7815DC" w:rsidR="0057241F" w:rsidRPr="0057241F" w:rsidRDefault="0057241F" w:rsidP="0057241F">
      <w:pPr>
        <w:jc w:val="both"/>
        <w:rPr>
          <w:rFonts w:ascii="Arial" w:hAnsi="Arial" w:cs="Arial"/>
          <w:sz w:val="18"/>
          <w:szCs w:val="20"/>
        </w:rPr>
      </w:pPr>
      <w:r w:rsidRPr="0057241F">
        <w:rPr>
          <w:rFonts w:ascii="Arial" w:hAnsi="Arial" w:cs="Arial"/>
          <w:sz w:val="18"/>
          <w:szCs w:val="20"/>
        </w:rPr>
        <w:t xml:space="preserve">Aging demographics can also influence a country's geopolitical influence and global standing. Germany, Japan, and China, despite being significant global players, face the challenge of diminished influence due to potential economic and societal pressures associated with aging populations. Older populations tend to have different priorities and interests than younger generations. They may focus more on social welfare and healthcare, which can lead to increased government spending in these areas. This shift in focus can divert resources and attention away from other areas crucial for geopolitical influence, such as </w:t>
      </w:r>
      <w:r w:rsidRPr="0057241F">
        <w:rPr>
          <w:rFonts w:ascii="Arial" w:hAnsi="Arial" w:cs="Arial"/>
          <w:sz w:val="18"/>
          <w:szCs w:val="20"/>
        </w:rPr>
        <w:t>defence</w:t>
      </w:r>
      <w:r w:rsidRPr="0057241F">
        <w:rPr>
          <w:rFonts w:ascii="Arial" w:hAnsi="Arial" w:cs="Arial"/>
          <w:sz w:val="18"/>
          <w:szCs w:val="20"/>
        </w:rPr>
        <w:t>, foreign policy, and diplomatic initiatives.</w:t>
      </w:r>
    </w:p>
    <w:p w14:paraId="5C309AD6" w14:textId="26D7EB71" w:rsidR="0057241F" w:rsidRPr="0057241F" w:rsidRDefault="0057241F" w:rsidP="0057241F">
      <w:pPr>
        <w:jc w:val="both"/>
        <w:rPr>
          <w:rFonts w:ascii="Arial" w:hAnsi="Arial" w:cs="Arial"/>
          <w:sz w:val="18"/>
          <w:szCs w:val="20"/>
        </w:rPr>
      </w:pPr>
      <w:r w:rsidRPr="0057241F">
        <w:rPr>
          <w:rFonts w:ascii="Arial" w:hAnsi="Arial" w:cs="Arial"/>
          <w:sz w:val="18"/>
          <w:szCs w:val="20"/>
        </w:rPr>
        <w:t xml:space="preserve">The United States, Australia, and India, on the other hand, are better positioned to maintain their geopolitical influence due to their </w:t>
      </w:r>
      <w:proofErr w:type="spellStart"/>
      <w:r w:rsidRPr="0057241F">
        <w:rPr>
          <w:rFonts w:ascii="Arial" w:hAnsi="Arial" w:cs="Arial"/>
          <w:sz w:val="18"/>
          <w:szCs w:val="20"/>
        </w:rPr>
        <w:t>favorable</w:t>
      </w:r>
      <w:proofErr w:type="spellEnd"/>
      <w:r w:rsidRPr="0057241F">
        <w:rPr>
          <w:rFonts w:ascii="Arial" w:hAnsi="Arial" w:cs="Arial"/>
          <w:sz w:val="18"/>
          <w:szCs w:val="20"/>
        </w:rPr>
        <w:t xml:space="preserve"> demographic profiles, economic resilience, and relatively stronger labour markets.</w:t>
      </w:r>
    </w:p>
    <w:p w14:paraId="4FB0E4B3" w14:textId="77777777" w:rsidR="0057241F" w:rsidRPr="0057241F" w:rsidRDefault="0057241F" w:rsidP="0057241F">
      <w:pPr>
        <w:jc w:val="both"/>
        <w:rPr>
          <w:rFonts w:ascii="Arial" w:hAnsi="Arial" w:cs="Arial"/>
          <w:sz w:val="18"/>
          <w:szCs w:val="20"/>
        </w:rPr>
      </w:pPr>
      <w:r w:rsidRPr="0057241F">
        <w:rPr>
          <w:rFonts w:ascii="Arial" w:hAnsi="Arial" w:cs="Arial"/>
          <w:sz w:val="18"/>
          <w:szCs w:val="20"/>
        </w:rPr>
        <w:t xml:space="preserve">Therefore, the burden of aging demographics poses complex challenges for countries worldwide. While Germany, Japan, and China face significant obstacles associated with declining populations and aging societies, the United States, </w:t>
      </w:r>
      <w:r w:rsidRPr="0057241F">
        <w:rPr>
          <w:rFonts w:ascii="Arial" w:hAnsi="Arial" w:cs="Arial"/>
          <w:sz w:val="18"/>
          <w:szCs w:val="20"/>
        </w:rPr>
        <w:lastRenderedPageBreak/>
        <w:t>Australia, and India possess demographic advantages that position them more favourably.  These countries have relatively younger populations, more robust labour markets, economic resilience, and potential for sustained growth. While no country is exempt from the consequences of aging populations, the United States, Australia, and India demonstrate a comparative advantage in navigating the burden of demographic changes, positioning themselves for greater stability and influence in an aging world. Those investors taking a long-term view of the markets, need to consider investing in countries that have relatively more attractive demographic profile rather than getting stuck in countries where the demographic weaknesses are set to get worse in the years ahead.</w:t>
      </w:r>
    </w:p>
    <w:p w14:paraId="6091BC17" w14:textId="77777777" w:rsidR="0043164D" w:rsidRPr="0057241F" w:rsidRDefault="0043164D" w:rsidP="0043164D">
      <w:pPr>
        <w:pStyle w:val="HeadingSpecial"/>
        <w:spacing w:after="120"/>
        <w:rPr>
          <w:rFonts w:eastAsia="Times New Roman"/>
          <w:b w:val="0"/>
          <w:sz w:val="18"/>
          <w:szCs w:val="18"/>
        </w:rPr>
      </w:pPr>
    </w:p>
    <w:p w14:paraId="3AA8FBE1" w14:textId="77777777" w:rsidR="00395A8D" w:rsidRPr="0043164D" w:rsidRDefault="00395A8D" w:rsidP="00395A8D">
      <w:pPr>
        <w:pStyle w:val="HeadingSpecial"/>
        <w:spacing w:after="120"/>
        <w:rPr>
          <w:rFonts w:eastAsia="Times New Roman"/>
          <w:b w:val="0"/>
          <w:sz w:val="18"/>
          <w:szCs w:val="18"/>
        </w:rPr>
      </w:pPr>
    </w:p>
    <w:p w14:paraId="6D95DBE3" w14:textId="77777777" w:rsidR="00DF4C63" w:rsidRPr="00395A8D" w:rsidRDefault="00DF4C63" w:rsidP="00DF4C63">
      <w:pPr>
        <w:jc w:val="both"/>
        <w:rPr>
          <w:rFonts w:ascii="Arial" w:eastAsia="Times New Roman" w:hAnsi="Arial" w:cs="Arial"/>
          <w:sz w:val="18"/>
          <w:szCs w:val="18"/>
        </w:rPr>
      </w:pPr>
      <w:r w:rsidRPr="00395A8D">
        <w:rPr>
          <w:rFonts w:ascii="Arial" w:eastAsia="Times New Roman" w:hAnsi="Arial" w:cs="Arial"/>
          <w:sz w:val="18"/>
          <w:szCs w:val="18"/>
        </w:rPr>
        <w:t>For enquiries:</w:t>
      </w:r>
    </w:p>
    <w:p w14:paraId="29217360" w14:textId="77777777" w:rsidR="00DF4C63" w:rsidRPr="00E37E84" w:rsidRDefault="00DF4C63" w:rsidP="00DF4C63">
      <w:pPr>
        <w:pStyle w:val="ListParagraph"/>
        <w:numPr>
          <w:ilvl w:val="0"/>
          <w:numId w:val="2"/>
        </w:numPr>
        <w:spacing w:after="0" w:line="240" w:lineRule="auto"/>
        <w:jc w:val="both"/>
        <w:rPr>
          <w:rStyle w:val="Hyperlink"/>
          <w:rFonts w:ascii="Arial" w:eastAsia="Times New Roman" w:hAnsi="Arial" w:cs="Arial"/>
          <w:color w:val="auto"/>
          <w:sz w:val="15"/>
          <w:szCs w:val="18"/>
          <w:highlight w:val="yellow"/>
          <w:u w:val="none"/>
        </w:rPr>
      </w:pPr>
      <w:r w:rsidRPr="00E37E84">
        <w:rPr>
          <w:rFonts w:ascii="Arial" w:eastAsia="Times New Roman" w:hAnsi="Arial" w:cs="Arial"/>
          <w:sz w:val="15"/>
          <w:szCs w:val="18"/>
          <w:highlight w:val="yellow"/>
        </w:rPr>
        <w:t xml:space="preserve">Email </w:t>
      </w:r>
    </w:p>
    <w:p w14:paraId="0353F089" w14:textId="77777777" w:rsidR="00DF4C63" w:rsidRPr="00E37E84" w:rsidRDefault="00DF4C63" w:rsidP="00DF4C63">
      <w:pPr>
        <w:pStyle w:val="ListParagraph"/>
        <w:numPr>
          <w:ilvl w:val="0"/>
          <w:numId w:val="2"/>
        </w:numPr>
        <w:spacing w:after="0" w:line="240" w:lineRule="auto"/>
        <w:jc w:val="both"/>
        <w:rPr>
          <w:rFonts w:ascii="Arial" w:eastAsia="Times New Roman" w:hAnsi="Arial" w:cs="Arial"/>
          <w:b/>
          <w:sz w:val="15"/>
          <w:szCs w:val="18"/>
          <w:highlight w:val="yellow"/>
        </w:rPr>
      </w:pPr>
      <w:r w:rsidRPr="00E37E84">
        <w:rPr>
          <w:rFonts w:ascii="Arial" w:eastAsia="Times New Roman" w:hAnsi="Arial" w:cs="Arial"/>
          <w:sz w:val="15"/>
          <w:szCs w:val="18"/>
          <w:highlight w:val="yellow"/>
        </w:rPr>
        <w:t xml:space="preserve">Phone </w:t>
      </w:r>
      <w:r w:rsidRPr="00E37E84">
        <w:rPr>
          <w:rFonts w:ascii="Arial" w:eastAsia="Times New Roman" w:hAnsi="Arial" w:cs="Arial"/>
          <w:b/>
          <w:sz w:val="15"/>
          <w:szCs w:val="18"/>
          <w:highlight w:val="yellow"/>
        </w:rPr>
        <w:t xml:space="preserve">(02) </w:t>
      </w:r>
      <w:proofErr w:type="spellStart"/>
      <w:r w:rsidRPr="00E37E84">
        <w:rPr>
          <w:rFonts w:ascii="Arial" w:eastAsia="Times New Roman" w:hAnsi="Arial" w:cs="Arial"/>
          <w:b/>
          <w:sz w:val="15"/>
          <w:szCs w:val="18"/>
          <w:highlight w:val="yellow"/>
        </w:rPr>
        <w:t>xxxxx</w:t>
      </w:r>
      <w:proofErr w:type="spellEnd"/>
      <w:r w:rsidRPr="00E37E84">
        <w:rPr>
          <w:rFonts w:ascii="Arial" w:eastAsia="Times New Roman" w:hAnsi="Arial" w:cs="Arial"/>
          <w:b/>
          <w:sz w:val="15"/>
          <w:szCs w:val="18"/>
          <w:highlight w:val="yellow"/>
        </w:rPr>
        <w:t xml:space="preserve"> </w:t>
      </w:r>
      <w:r w:rsidRPr="00E37E84">
        <w:rPr>
          <w:rFonts w:ascii="Arial" w:eastAsia="Times New Roman" w:hAnsi="Arial" w:cs="Arial"/>
          <w:sz w:val="15"/>
          <w:szCs w:val="18"/>
          <w:highlight w:val="yellow"/>
        </w:rPr>
        <w:t>(within Australia), or</w:t>
      </w:r>
    </w:p>
    <w:p w14:paraId="463F7642" w14:textId="77777777" w:rsidR="00DF4C63" w:rsidRPr="00E37E84" w:rsidRDefault="00DF4C63" w:rsidP="00DF4C63">
      <w:pPr>
        <w:pStyle w:val="ListParagraph"/>
        <w:numPr>
          <w:ilvl w:val="0"/>
          <w:numId w:val="2"/>
        </w:numPr>
        <w:spacing w:after="0" w:line="240" w:lineRule="auto"/>
        <w:rPr>
          <w:rFonts w:ascii="Arial" w:eastAsia="Times New Roman" w:hAnsi="Arial" w:cs="Arial"/>
          <w:sz w:val="15"/>
          <w:szCs w:val="18"/>
          <w:highlight w:val="yellow"/>
        </w:rPr>
      </w:pPr>
      <w:r w:rsidRPr="00E37E84">
        <w:rPr>
          <w:rFonts w:ascii="Arial" w:eastAsia="Times New Roman" w:hAnsi="Arial" w:cs="Arial"/>
          <w:sz w:val="15"/>
          <w:szCs w:val="18"/>
          <w:highlight w:val="yellow"/>
        </w:rPr>
        <w:t xml:space="preserve">Write to: </w:t>
      </w:r>
    </w:p>
    <w:p w14:paraId="0BA8AE8E" w14:textId="77777777" w:rsidR="00DF4C63" w:rsidRPr="00A606D3" w:rsidRDefault="00DF4C63" w:rsidP="00DF4C63">
      <w:pPr>
        <w:spacing w:after="0" w:line="240" w:lineRule="auto"/>
        <w:ind w:left="360"/>
        <w:rPr>
          <w:rFonts w:ascii="Arial" w:eastAsia="Times New Roman" w:hAnsi="Arial" w:cs="Arial"/>
          <w:b/>
          <w:sz w:val="15"/>
          <w:szCs w:val="18"/>
        </w:rPr>
      </w:pPr>
      <w:proofErr w:type="spellStart"/>
      <w:r w:rsidRPr="00E37E84">
        <w:rPr>
          <w:rFonts w:ascii="Arial" w:eastAsia="Times New Roman" w:hAnsi="Arial" w:cs="Arial"/>
          <w:b/>
          <w:sz w:val="15"/>
          <w:szCs w:val="18"/>
          <w:highlight w:val="yellow"/>
        </w:rPr>
        <w:t>xxxxx</w:t>
      </w:r>
      <w:proofErr w:type="spellEnd"/>
    </w:p>
    <w:p w14:paraId="613D2944" w14:textId="77777777" w:rsidR="00DF4C63" w:rsidRPr="00A606D3" w:rsidRDefault="00DF4C63" w:rsidP="00DF4C63">
      <w:pPr>
        <w:spacing w:after="0" w:line="240" w:lineRule="auto"/>
        <w:ind w:left="360"/>
        <w:rPr>
          <w:rFonts w:ascii="Arial" w:eastAsia="Times New Roman" w:hAnsi="Arial" w:cs="Arial"/>
          <w:b/>
          <w:sz w:val="10"/>
          <w:szCs w:val="16"/>
        </w:rPr>
      </w:pPr>
    </w:p>
    <w:p w14:paraId="026511F0" w14:textId="77777777" w:rsidR="00DF4C63" w:rsidRDefault="00DF4C63" w:rsidP="00DF4C63">
      <w:pPr>
        <w:spacing w:after="0" w:line="240" w:lineRule="auto"/>
        <w:rPr>
          <w:rFonts w:ascii="Arial" w:eastAsia="Times New Roman" w:hAnsi="Arial" w:cs="Arial"/>
          <w:b/>
          <w:sz w:val="13"/>
          <w:szCs w:val="16"/>
        </w:rPr>
      </w:pPr>
    </w:p>
    <w:p w14:paraId="7A6DDDCE" w14:textId="77777777" w:rsidR="00DF4C63" w:rsidRPr="008C2CD0" w:rsidRDefault="00DF4C63" w:rsidP="00DF4C63">
      <w:pPr>
        <w:spacing w:after="0" w:line="240" w:lineRule="auto"/>
        <w:rPr>
          <w:rFonts w:ascii="Arial" w:eastAsia="Times New Roman" w:hAnsi="Arial" w:cs="Arial"/>
          <w:b/>
          <w:sz w:val="10"/>
          <w:szCs w:val="16"/>
        </w:rPr>
      </w:pPr>
      <w:r w:rsidRPr="008C2CD0">
        <w:rPr>
          <w:rFonts w:ascii="Arial" w:eastAsia="Times New Roman" w:hAnsi="Arial" w:cs="Arial"/>
          <w:b/>
          <w:sz w:val="10"/>
          <w:szCs w:val="16"/>
        </w:rPr>
        <w:t>IMPORTANT DISCLAIMER – Please read carefully</w:t>
      </w:r>
    </w:p>
    <w:p w14:paraId="63E31BD3" w14:textId="77777777" w:rsidR="00DF4C63" w:rsidRPr="008C2CD0" w:rsidRDefault="00DF4C63" w:rsidP="00DF4C63">
      <w:pPr>
        <w:pStyle w:val="HeadingSpecial"/>
        <w:rPr>
          <w:b w:val="0"/>
          <w:sz w:val="15"/>
        </w:rPr>
      </w:pPr>
      <w:r w:rsidRPr="008C2CD0">
        <w:rPr>
          <w:rFonts w:eastAsia="Times New Roman"/>
          <w:sz w:val="10"/>
          <w:szCs w:val="18"/>
        </w:rPr>
        <w:t xml:space="preserve">This newsletter is copyright and is for the clients of </w:t>
      </w:r>
      <w:proofErr w:type="spellStart"/>
      <w:r w:rsidRPr="008C2CD0">
        <w:rPr>
          <w:rFonts w:eastAsia="Times New Roman"/>
          <w:sz w:val="10"/>
          <w:szCs w:val="18"/>
          <w:highlight w:val="yellow"/>
        </w:rPr>
        <w:t>xxxxxx</w:t>
      </w:r>
      <w:proofErr w:type="spellEnd"/>
      <w:r w:rsidRPr="008C2CD0">
        <w:rPr>
          <w:rFonts w:eastAsia="Times New Roman"/>
          <w:sz w:val="10"/>
          <w:szCs w:val="18"/>
        </w:rPr>
        <w:t>.  The reproduction of any part of the letter, for any purpose, is not permitted.  The view expressed in the newsletter are for general information purposes only and are not meant to be taken as personal financial advice.</w:t>
      </w:r>
    </w:p>
    <w:p w14:paraId="68F8CBE5" w14:textId="4649856B" w:rsidR="00136A8E" w:rsidRPr="00A36599" w:rsidRDefault="001E764D" w:rsidP="00A36599">
      <w:pPr>
        <w:pStyle w:val="HeadingSpecial"/>
        <w:spacing w:after="120"/>
        <w:rPr>
          <w:rFonts w:eastAsia="Times New Roman"/>
          <w:b w:val="0"/>
          <w:sz w:val="18"/>
          <w:szCs w:val="18"/>
        </w:rPr>
      </w:pPr>
      <w:r w:rsidRPr="00A36599">
        <w:rPr>
          <w:rFonts w:eastAsia="Times New Roman"/>
          <w:b w:val="0"/>
          <w:noProof/>
          <w:sz w:val="18"/>
          <w:szCs w:val="18"/>
        </w:rPr>
        <mc:AlternateContent>
          <mc:Choice Requires="wps">
            <w:drawing>
              <wp:anchor distT="0" distB="0" distL="114300" distR="114300" simplePos="0" relativeHeight="251661312" behindDoc="0" locked="0" layoutInCell="1" allowOverlap="1" wp14:anchorId="03D4A7E2" wp14:editId="1BDBA28B">
                <wp:simplePos x="0" y="0"/>
                <wp:positionH relativeFrom="column">
                  <wp:posOffset>13145135</wp:posOffset>
                </wp:positionH>
                <wp:positionV relativeFrom="paragraph">
                  <wp:posOffset>469265</wp:posOffset>
                </wp:positionV>
                <wp:extent cx="712054" cy="307777"/>
                <wp:effectExtent l="0" t="0" r="0" b="0"/>
                <wp:wrapNone/>
                <wp:docPr id="7" name="TextBox 1"/>
                <wp:cNvGraphicFramePr/>
                <a:graphic xmlns:a="http://schemas.openxmlformats.org/drawingml/2006/main">
                  <a:graphicData uri="http://schemas.microsoft.com/office/word/2010/wordprocessingShape">
                    <wps:wsp>
                      <wps:cNvSpPr txBox="1"/>
                      <wps:spPr>
                        <a:xfrm>
                          <a:off x="0" y="0"/>
                          <a:ext cx="712054" cy="307777"/>
                        </a:xfrm>
                        <a:prstGeom prst="rect">
                          <a:avLst/>
                        </a:prstGeom>
                        <a:noFill/>
                      </wps:spPr>
                      <wps:txbx>
                        <w:txbxContent>
                          <w:p w14:paraId="041D67B8" w14:textId="77777777" w:rsidR="00FB7423" w:rsidRDefault="00FB7423" w:rsidP="001E764D">
                            <w:pPr>
                              <w:pStyle w:val="NormalWeb"/>
                              <w:spacing w:before="0" w:beforeAutospacing="0" w:after="0" w:afterAutospacing="0"/>
                            </w:pPr>
                            <w:r>
                              <w:rPr>
                                <w:rFonts w:ascii="Arial" w:eastAsia="Arial" w:hAnsi="Arial" w:cs="Arial"/>
                                <w:color w:val="000000"/>
                                <w:sz w:val="28"/>
                                <w:szCs w:val="28"/>
                                <w:lang w:val="en-US"/>
                              </w:rPr>
                              <w:t>Goods</w:t>
                            </w:r>
                          </w:p>
                        </w:txbxContent>
                      </wps:txbx>
                      <wps:bodyPr wrap="none" rtlCol="0">
                        <a:spAutoFit/>
                      </wps:bodyPr>
                    </wps:wsp>
                  </a:graphicData>
                </a:graphic>
              </wp:anchor>
            </w:drawing>
          </mc:Choice>
          <mc:Fallback>
            <w:pict>
              <v:shapetype w14:anchorId="03D4A7E2" id="_x0000_t202" coordsize="21600,21600" o:spt="202" path="m,l,21600r21600,l21600,xe">
                <v:stroke joinstyle="miter"/>
                <v:path gradientshapeok="t" o:connecttype="rect"/>
              </v:shapetype>
              <v:shape id="TextBox 1" o:spid="_x0000_s1026" type="#_x0000_t202" style="position:absolute;left:0;text-align:left;margin-left:1035.05pt;margin-top:36.95pt;width:56.05pt;height:24.2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" filled="f" stroked="f">
                <v:textbox style="mso-fit-shape-to-text:t">
                  <w:txbxContent>
                    <w:p w14:paraId="041D67B8" w14:textId="77777777" w:rsidR="00FB7423" w:rsidRDefault="00FB7423" w:rsidP="001E764D">
                      <w:pPr>
                        <w:pStyle w:val="NormalWeb"/>
                        <w:spacing w:before="0" w:beforeAutospacing="0" w:after="0" w:afterAutospacing="0"/>
                      </w:pPr>
                      <w:r>
                        <w:rPr>
                          <w:rFonts w:ascii="Arial" w:eastAsia="Arial" w:hAnsi="Arial" w:cs="Arial"/>
                          <w:color w:val="000000"/>
                          <w:sz w:val="28"/>
                          <w:szCs w:val="28"/>
                          <w:lang w:val="en-US"/>
                        </w:rPr>
                        <w:t>Goods</w:t>
                      </w:r>
                    </w:p>
                  </w:txbxContent>
                </v:textbox>
              </v:shape>
            </w:pict>
          </mc:Fallback>
        </mc:AlternateContent>
      </w:r>
    </w:p>
    <w:sectPr w:rsidR="00136A8E" w:rsidRPr="00A36599" w:rsidSect="00BB3183">
      <w:type w:val="continuous"/>
      <w:pgSz w:w="11906" w:h="16838" w:code="9"/>
      <w:pgMar w:top="1142" w:right="794" w:bottom="0" w:left="794" w:header="0" w:footer="22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8E914" w14:textId="77777777" w:rsidR="006E1925" w:rsidRDefault="006E1925" w:rsidP="00CF573F">
      <w:pPr>
        <w:spacing w:after="0" w:line="240" w:lineRule="auto"/>
      </w:pPr>
      <w:r>
        <w:separator/>
      </w:r>
    </w:p>
  </w:endnote>
  <w:endnote w:type="continuationSeparator" w:id="0">
    <w:p w14:paraId="12AEFC93" w14:textId="77777777" w:rsidR="006E1925" w:rsidRDefault="006E1925" w:rsidP="00CF5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642475"/>
      <w:docPartObj>
        <w:docPartGallery w:val="Page Numbers (Bottom of Page)"/>
        <w:docPartUnique/>
      </w:docPartObj>
    </w:sdtPr>
    <w:sdtEndPr>
      <w:rPr>
        <w:noProof/>
      </w:rPr>
    </w:sdtEndPr>
    <w:sdtContent>
      <w:p w14:paraId="0D8D03A4" w14:textId="77777777" w:rsidR="00FB7423" w:rsidRDefault="006E1925" w:rsidP="00E66C10">
        <w:pPr>
          <w:pStyle w:val="Footer"/>
          <w:jc w:val="center"/>
        </w:pPr>
      </w:p>
    </w:sdtContent>
  </w:sdt>
  <w:p w14:paraId="75D1653E" w14:textId="77777777" w:rsidR="00FB7423" w:rsidRDefault="00FB7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8AEA3" w14:textId="77777777" w:rsidR="006E1925" w:rsidRDefault="006E1925" w:rsidP="00CF573F">
      <w:pPr>
        <w:spacing w:after="0" w:line="240" w:lineRule="auto"/>
      </w:pPr>
      <w:r>
        <w:separator/>
      </w:r>
    </w:p>
  </w:footnote>
  <w:footnote w:type="continuationSeparator" w:id="0">
    <w:p w14:paraId="19ACF791" w14:textId="77777777" w:rsidR="006E1925" w:rsidRDefault="006E1925" w:rsidP="00CF5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7D0B"/>
    <w:multiLevelType w:val="hybridMultilevel"/>
    <w:tmpl w:val="B2224638"/>
    <w:lvl w:ilvl="0" w:tplc="67EAE1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92106"/>
    <w:multiLevelType w:val="hybridMultilevel"/>
    <w:tmpl w:val="352A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456F9"/>
    <w:multiLevelType w:val="hybridMultilevel"/>
    <w:tmpl w:val="75F26424"/>
    <w:lvl w:ilvl="0" w:tplc="4A0035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74D5B"/>
    <w:multiLevelType w:val="hybridMultilevel"/>
    <w:tmpl w:val="DAEAC180"/>
    <w:lvl w:ilvl="0" w:tplc="67EAE1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C347F"/>
    <w:multiLevelType w:val="multilevel"/>
    <w:tmpl w:val="59F0B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3403AA"/>
    <w:multiLevelType w:val="hybridMultilevel"/>
    <w:tmpl w:val="8BE2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F7274"/>
    <w:multiLevelType w:val="hybridMultilevel"/>
    <w:tmpl w:val="48C621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86225D3"/>
    <w:multiLevelType w:val="hybridMultilevel"/>
    <w:tmpl w:val="7D604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07469F"/>
    <w:multiLevelType w:val="hybridMultilevel"/>
    <w:tmpl w:val="F404D2DE"/>
    <w:lvl w:ilvl="0" w:tplc="67EAE1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6032A"/>
    <w:multiLevelType w:val="hybridMultilevel"/>
    <w:tmpl w:val="DAD0EBA4"/>
    <w:lvl w:ilvl="0" w:tplc="7348EE3A">
      <w:numFmt w:val="bullet"/>
      <w:lvlText w:val="-"/>
      <w:lvlJc w:val="left"/>
      <w:pPr>
        <w:ind w:left="7560" w:hanging="360"/>
      </w:pPr>
      <w:rPr>
        <w:rFonts w:ascii="Arial" w:eastAsiaTheme="minorHAnsi" w:hAnsi="Arial" w:cs="Arial" w:hint="default"/>
        <w:color w:val="000000" w:themeColor="text1"/>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0" w15:restartNumberingAfterBreak="0">
    <w:nsid w:val="692F7915"/>
    <w:multiLevelType w:val="hybridMultilevel"/>
    <w:tmpl w:val="7340BBC0"/>
    <w:lvl w:ilvl="0" w:tplc="3308467C">
      <w:numFmt w:val="bullet"/>
      <w:lvlText w:val="-"/>
      <w:lvlJc w:val="left"/>
      <w:pPr>
        <w:ind w:left="8280" w:hanging="360"/>
      </w:pPr>
      <w:rPr>
        <w:rFonts w:ascii="Arial" w:eastAsiaTheme="minorHAnsi" w:hAnsi="Arial" w:cs="Arial" w:hint="default"/>
        <w:sz w:val="24"/>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11" w15:restartNumberingAfterBreak="0">
    <w:nsid w:val="6C460145"/>
    <w:multiLevelType w:val="hybridMultilevel"/>
    <w:tmpl w:val="7F8447EC"/>
    <w:lvl w:ilvl="0" w:tplc="67EAE1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570AAF"/>
    <w:multiLevelType w:val="hybridMultilevel"/>
    <w:tmpl w:val="131EA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9216AB"/>
    <w:multiLevelType w:val="hybridMultilevel"/>
    <w:tmpl w:val="CAAA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61A28"/>
    <w:multiLevelType w:val="hybridMultilevel"/>
    <w:tmpl w:val="7C30A596"/>
    <w:lvl w:ilvl="0" w:tplc="E3C23E08">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13"/>
  </w:num>
  <w:num w:numId="4">
    <w:abstractNumId w:val="11"/>
  </w:num>
  <w:num w:numId="5">
    <w:abstractNumId w:val="0"/>
  </w:num>
  <w:num w:numId="6">
    <w:abstractNumId w:val="8"/>
  </w:num>
  <w:num w:numId="7">
    <w:abstractNumId w:val="3"/>
  </w:num>
  <w:num w:numId="8">
    <w:abstractNumId w:val="12"/>
  </w:num>
  <w:num w:numId="9">
    <w:abstractNumId w:val="7"/>
  </w:num>
  <w:num w:numId="10">
    <w:abstractNumId w:val="1"/>
  </w:num>
  <w:num w:numId="11">
    <w:abstractNumId w:val="5"/>
  </w:num>
  <w:num w:numId="12">
    <w:abstractNumId w:val="10"/>
  </w:num>
  <w:num w:numId="13">
    <w:abstractNumId w:val="9"/>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28E"/>
    <w:rsid w:val="00000A98"/>
    <w:rsid w:val="00000AC0"/>
    <w:rsid w:val="00000CE6"/>
    <w:rsid w:val="000045F9"/>
    <w:rsid w:val="000048F1"/>
    <w:rsid w:val="00004ADE"/>
    <w:rsid w:val="000112A1"/>
    <w:rsid w:val="00011C6D"/>
    <w:rsid w:val="00012CC8"/>
    <w:rsid w:val="00014812"/>
    <w:rsid w:val="000152E6"/>
    <w:rsid w:val="00016D56"/>
    <w:rsid w:val="00022C27"/>
    <w:rsid w:val="000246F2"/>
    <w:rsid w:val="000268CB"/>
    <w:rsid w:val="00030946"/>
    <w:rsid w:val="00031AE5"/>
    <w:rsid w:val="0003422B"/>
    <w:rsid w:val="00034237"/>
    <w:rsid w:val="0003527C"/>
    <w:rsid w:val="00036076"/>
    <w:rsid w:val="00037966"/>
    <w:rsid w:val="000400EF"/>
    <w:rsid w:val="00041143"/>
    <w:rsid w:val="00041ECF"/>
    <w:rsid w:val="00046DB0"/>
    <w:rsid w:val="00046FEF"/>
    <w:rsid w:val="00051668"/>
    <w:rsid w:val="00051CF4"/>
    <w:rsid w:val="00055C6B"/>
    <w:rsid w:val="000607A4"/>
    <w:rsid w:val="0006354A"/>
    <w:rsid w:val="00063CF3"/>
    <w:rsid w:val="000663B4"/>
    <w:rsid w:val="0006752D"/>
    <w:rsid w:val="00071882"/>
    <w:rsid w:val="00072BD5"/>
    <w:rsid w:val="00073043"/>
    <w:rsid w:val="000748AF"/>
    <w:rsid w:val="0007630E"/>
    <w:rsid w:val="00077CFD"/>
    <w:rsid w:val="00080B79"/>
    <w:rsid w:val="00082840"/>
    <w:rsid w:val="0008451D"/>
    <w:rsid w:val="00085779"/>
    <w:rsid w:val="00091445"/>
    <w:rsid w:val="0009293D"/>
    <w:rsid w:val="0009314E"/>
    <w:rsid w:val="000940E9"/>
    <w:rsid w:val="00094BBA"/>
    <w:rsid w:val="00095300"/>
    <w:rsid w:val="00095F38"/>
    <w:rsid w:val="0009660B"/>
    <w:rsid w:val="00096AF6"/>
    <w:rsid w:val="00097C87"/>
    <w:rsid w:val="000A0F48"/>
    <w:rsid w:val="000A2339"/>
    <w:rsid w:val="000A4DA4"/>
    <w:rsid w:val="000A518A"/>
    <w:rsid w:val="000B11B8"/>
    <w:rsid w:val="000B1715"/>
    <w:rsid w:val="000B36B8"/>
    <w:rsid w:val="000B5CAD"/>
    <w:rsid w:val="000B684F"/>
    <w:rsid w:val="000C02B4"/>
    <w:rsid w:val="000C7B1C"/>
    <w:rsid w:val="000D1296"/>
    <w:rsid w:val="000D42F2"/>
    <w:rsid w:val="000D43C9"/>
    <w:rsid w:val="000D5F71"/>
    <w:rsid w:val="000D690B"/>
    <w:rsid w:val="000D78A8"/>
    <w:rsid w:val="000E0F4B"/>
    <w:rsid w:val="000E2C51"/>
    <w:rsid w:val="000E327B"/>
    <w:rsid w:val="000E3ED8"/>
    <w:rsid w:val="00100F0E"/>
    <w:rsid w:val="001028B1"/>
    <w:rsid w:val="001039A5"/>
    <w:rsid w:val="00103BA2"/>
    <w:rsid w:val="00105949"/>
    <w:rsid w:val="00110A4C"/>
    <w:rsid w:val="00112459"/>
    <w:rsid w:val="00116890"/>
    <w:rsid w:val="0011788A"/>
    <w:rsid w:val="001178DD"/>
    <w:rsid w:val="00117B1C"/>
    <w:rsid w:val="001205F5"/>
    <w:rsid w:val="001253B7"/>
    <w:rsid w:val="001325DB"/>
    <w:rsid w:val="001352D1"/>
    <w:rsid w:val="00136A8E"/>
    <w:rsid w:val="00137364"/>
    <w:rsid w:val="00137679"/>
    <w:rsid w:val="00140524"/>
    <w:rsid w:val="00140590"/>
    <w:rsid w:val="0014155D"/>
    <w:rsid w:val="00144CC3"/>
    <w:rsid w:val="00147792"/>
    <w:rsid w:val="00150B45"/>
    <w:rsid w:val="00153033"/>
    <w:rsid w:val="00154873"/>
    <w:rsid w:val="00157B0A"/>
    <w:rsid w:val="00160AD1"/>
    <w:rsid w:val="001630C0"/>
    <w:rsid w:val="001678AD"/>
    <w:rsid w:val="00174661"/>
    <w:rsid w:val="001755E4"/>
    <w:rsid w:val="00177059"/>
    <w:rsid w:val="00181EFF"/>
    <w:rsid w:val="00186A11"/>
    <w:rsid w:val="00190191"/>
    <w:rsid w:val="001912F3"/>
    <w:rsid w:val="001A1534"/>
    <w:rsid w:val="001A18B5"/>
    <w:rsid w:val="001A31EB"/>
    <w:rsid w:val="001A395A"/>
    <w:rsid w:val="001A6672"/>
    <w:rsid w:val="001A76AE"/>
    <w:rsid w:val="001A7C75"/>
    <w:rsid w:val="001B028F"/>
    <w:rsid w:val="001B039E"/>
    <w:rsid w:val="001B0800"/>
    <w:rsid w:val="001B2A5F"/>
    <w:rsid w:val="001B3F5F"/>
    <w:rsid w:val="001B42FC"/>
    <w:rsid w:val="001B57B4"/>
    <w:rsid w:val="001B6B9C"/>
    <w:rsid w:val="001B6F3C"/>
    <w:rsid w:val="001C0C3F"/>
    <w:rsid w:val="001C4AD6"/>
    <w:rsid w:val="001C5CBC"/>
    <w:rsid w:val="001C75F3"/>
    <w:rsid w:val="001C79E8"/>
    <w:rsid w:val="001D1B86"/>
    <w:rsid w:val="001D1DE2"/>
    <w:rsid w:val="001E08C5"/>
    <w:rsid w:val="001E5F56"/>
    <w:rsid w:val="001E764D"/>
    <w:rsid w:val="001F087D"/>
    <w:rsid w:val="001F40A8"/>
    <w:rsid w:val="001F59E8"/>
    <w:rsid w:val="001F701F"/>
    <w:rsid w:val="00200434"/>
    <w:rsid w:val="00200A0A"/>
    <w:rsid w:val="0020144B"/>
    <w:rsid w:val="00201C27"/>
    <w:rsid w:val="002037AA"/>
    <w:rsid w:val="0020502B"/>
    <w:rsid w:val="00206CAC"/>
    <w:rsid w:val="002101B9"/>
    <w:rsid w:val="00210276"/>
    <w:rsid w:val="0021140D"/>
    <w:rsid w:val="00211B95"/>
    <w:rsid w:val="002123EA"/>
    <w:rsid w:val="002142EB"/>
    <w:rsid w:val="002157BD"/>
    <w:rsid w:val="00221294"/>
    <w:rsid w:val="002217AD"/>
    <w:rsid w:val="00222477"/>
    <w:rsid w:val="00222C16"/>
    <w:rsid w:val="0022373A"/>
    <w:rsid w:val="00225D74"/>
    <w:rsid w:val="00230A18"/>
    <w:rsid w:val="00230EC4"/>
    <w:rsid w:val="00231C04"/>
    <w:rsid w:val="00231EFA"/>
    <w:rsid w:val="002434C8"/>
    <w:rsid w:val="00243BC0"/>
    <w:rsid w:val="002453ED"/>
    <w:rsid w:val="002503B8"/>
    <w:rsid w:val="002503CF"/>
    <w:rsid w:val="0025388B"/>
    <w:rsid w:val="00254C63"/>
    <w:rsid w:val="00255E04"/>
    <w:rsid w:val="00264D61"/>
    <w:rsid w:val="00265A16"/>
    <w:rsid w:val="002664FC"/>
    <w:rsid w:val="00266B1B"/>
    <w:rsid w:val="00270D15"/>
    <w:rsid w:val="00271D05"/>
    <w:rsid w:val="00272F6A"/>
    <w:rsid w:val="00275335"/>
    <w:rsid w:val="00275C96"/>
    <w:rsid w:val="00276AA1"/>
    <w:rsid w:val="00285E7E"/>
    <w:rsid w:val="002872A1"/>
    <w:rsid w:val="00287A62"/>
    <w:rsid w:val="00290219"/>
    <w:rsid w:val="002915BB"/>
    <w:rsid w:val="002917EA"/>
    <w:rsid w:val="00291A5E"/>
    <w:rsid w:val="002926C0"/>
    <w:rsid w:val="00292F90"/>
    <w:rsid w:val="002A0012"/>
    <w:rsid w:val="002A06F1"/>
    <w:rsid w:val="002A1BAD"/>
    <w:rsid w:val="002A4155"/>
    <w:rsid w:val="002A701A"/>
    <w:rsid w:val="002A79FD"/>
    <w:rsid w:val="002B16E4"/>
    <w:rsid w:val="002B2477"/>
    <w:rsid w:val="002B5935"/>
    <w:rsid w:val="002C0DDC"/>
    <w:rsid w:val="002C168D"/>
    <w:rsid w:val="002C66E8"/>
    <w:rsid w:val="002C793B"/>
    <w:rsid w:val="002D1EB8"/>
    <w:rsid w:val="002D5472"/>
    <w:rsid w:val="002D5A19"/>
    <w:rsid w:val="002D7EC8"/>
    <w:rsid w:val="002E2E86"/>
    <w:rsid w:val="002E321B"/>
    <w:rsid w:val="002E6083"/>
    <w:rsid w:val="002E6C54"/>
    <w:rsid w:val="002E73A1"/>
    <w:rsid w:val="002F113A"/>
    <w:rsid w:val="002F7727"/>
    <w:rsid w:val="00300AA0"/>
    <w:rsid w:val="003014F2"/>
    <w:rsid w:val="0030162C"/>
    <w:rsid w:val="00302C87"/>
    <w:rsid w:val="0030428E"/>
    <w:rsid w:val="0030514A"/>
    <w:rsid w:val="0030646C"/>
    <w:rsid w:val="00310058"/>
    <w:rsid w:val="0031008B"/>
    <w:rsid w:val="00310BEE"/>
    <w:rsid w:val="003114E9"/>
    <w:rsid w:val="00316117"/>
    <w:rsid w:val="00320811"/>
    <w:rsid w:val="00321EF7"/>
    <w:rsid w:val="003255EE"/>
    <w:rsid w:val="0032560F"/>
    <w:rsid w:val="00327F65"/>
    <w:rsid w:val="00330467"/>
    <w:rsid w:val="003304B7"/>
    <w:rsid w:val="00331A5D"/>
    <w:rsid w:val="00335F9C"/>
    <w:rsid w:val="00337A51"/>
    <w:rsid w:val="00343453"/>
    <w:rsid w:val="003446E6"/>
    <w:rsid w:val="0034542A"/>
    <w:rsid w:val="00347D1E"/>
    <w:rsid w:val="00352477"/>
    <w:rsid w:val="00357E0D"/>
    <w:rsid w:val="00360B18"/>
    <w:rsid w:val="00363AA2"/>
    <w:rsid w:val="0036404E"/>
    <w:rsid w:val="00365561"/>
    <w:rsid w:val="003725E0"/>
    <w:rsid w:val="003804F5"/>
    <w:rsid w:val="00380D7D"/>
    <w:rsid w:val="00382110"/>
    <w:rsid w:val="0038263E"/>
    <w:rsid w:val="003868DD"/>
    <w:rsid w:val="00386CD6"/>
    <w:rsid w:val="003936EB"/>
    <w:rsid w:val="00393C39"/>
    <w:rsid w:val="00393F7E"/>
    <w:rsid w:val="00395A6E"/>
    <w:rsid w:val="00395A8D"/>
    <w:rsid w:val="003A339C"/>
    <w:rsid w:val="003A42E0"/>
    <w:rsid w:val="003A4BED"/>
    <w:rsid w:val="003A62BC"/>
    <w:rsid w:val="003A7196"/>
    <w:rsid w:val="003B13F4"/>
    <w:rsid w:val="003B4C10"/>
    <w:rsid w:val="003B6225"/>
    <w:rsid w:val="003B6F8B"/>
    <w:rsid w:val="003C0D99"/>
    <w:rsid w:val="003C0F70"/>
    <w:rsid w:val="003C1101"/>
    <w:rsid w:val="003C3284"/>
    <w:rsid w:val="003C3D50"/>
    <w:rsid w:val="003C6916"/>
    <w:rsid w:val="003C69AB"/>
    <w:rsid w:val="003C6E34"/>
    <w:rsid w:val="003C7D7C"/>
    <w:rsid w:val="003D0D0D"/>
    <w:rsid w:val="003D0E98"/>
    <w:rsid w:val="003D0EFE"/>
    <w:rsid w:val="003D1081"/>
    <w:rsid w:val="003D1C3D"/>
    <w:rsid w:val="003D2100"/>
    <w:rsid w:val="003D5E75"/>
    <w:rsid w:val="003D63C7"/>
    <w:rsid w:val="003D7253"/>
    <w:rsid w:val="003D78BA"/>
    <w:rsid w:val="003E0C7F"/>
    <w:rsid w:val="003E2259"/>
    <w:rsid w:val="003F061C"/>
    <w:rsid w:val="003F247A"/>
    <w:rsid w:val="003F2634"/>
    <w:rsid w:val="003F4ED8"/>
    <w:rsid w:val="003F5560"/>
    <w:rsid w:val="003F5DAC"/>
    <w:rsid w:val="00405595"/>
    <w:rsid w:val="00405CC7"/>
    <w:rsid w:val="004110E3"/>
    <w:rsid w:val="00417BFB"/>
    <w:rsid w:val="0042072E"/>
    <w:rsid w:val="00421897"/>
    <w:rsid w:val="0042274A"/>
    <w:rsid w:val="00423CFB"/>
    <w:rsid w:val="00426355"/>
    <w:rsid w:val="00426631"/>
    <w:rsid w:val="0043164D"/>
    <w:rsid w:val="00431E62"/>
    <w:rsid w:val="004364FE"/>
    <w:rsid w:val="004378F0"/>
    <w:rsid w:val="00441DFC"/>
    <w:rsid w:val="004423A9"/>
    <w:rsid w:val="0044289D"/>
    <w:rsid w:val="00443772"/>
    <w:rsid w:val="00446F94"/>
    <w:rsid w:val="00451E9D"/>
    <w:rsid w:val="00453413"/>
    <w:rsid w:val="00460D4C"/>
    <w:rsid w:val="00464F68"/>
    <w:rsid w:val="00466D53"/>
    <w:rsid w:val="00466EAB"/>
    <w:rsid w:val="00471A59"/>
    <w:rsid w:val="00472676"/>
    <w:rsid w:val="00472BE1"/>
    <w:rsid w:val="00473456"/>
    <w:rsid w:val="0047759A"/>
    <w:rsid w:val="00480D11"/>
    <w:rsid w:val="0048130B"/>
    <w:rsid w:val="004841C8"/>
    <w:rsid w:val="00487039"/>
    <w:rsid w:val="004900F1"/>
    <w:rsid w:val="004939D8"/>
    <w:rsid w:val="00493FF8"/>
    <w:rsid w:val="0049461F"/>
    <w:rsid w:val="004949BC"/>
    <w:rsid w:val="004A004C"/>
    <w:rsid w:val="004A1A55"/>
    <w:rsid w:val="004A1DA5"/>
    <w:rsid w:val="004A1ECF"/>
    <w:rsid w:val="004A232F"/>
    <w:rsid w:val="004A2B63"/>
    <w:rsid w:val="004A3D6D"/>
    <w:rsid w:val="004A4778"/>
    <w:rsid w:val="004A551A"/>
    <w:rsid w:val="004A5A00"/>
    <w:rsid w:val="004A6E6E"/>
    <w:rsid w:val="004A79F8"/>
    <w:rsid w:val="004A7D6C"/>
    <w:rsid w:val="004B1A46"/>
    <w:rsid w:val="004C1F41"/>
    <w:rsid w:val="004C2BC4"/>
    <w:rsid w:val="004C494C"/>
    <w:rsid w:val="004C4F2D"/>
    <w:rsid w:val="004D2065"/>
    <w:rsid w:val="004D2BD8"/>
    <w:rsid w:val="004D2D66"/>
    <w:rsid w:val="004D6B7C"/>
    <w:rsid w:val="004E1780"/>
    <w:rsid w:val="004E395A"/>
    <w:rsid w:val="004F4056"/>
    <w:rsid w:val="004F6D71"/>
    <w:rsid w:val="004F72C7"/>
    <w:rsid w:val="004F7320"/>
    <w:rsid w:val="0050170E"/>
    <w:rsid w:val="005062D1"/>
    <w:rsid w:val="00507A0F"/>
    <w:rsid w:val="005100EE"/>
    <w:rsid w:val="0051122D"/>
    <w:rsid w:val="00511493"/>
    <w:rsid w:val="00511918"/>
    <w:rsid w:val="0051271B"/>
    <w:rsid w:val="00513381"/>
    <w:rsid w:val="00520261"/>
    <w:rsid w:val="00520948"/>
    <w:rsid w:val="005231C7"/>
    <w:rsid w:val="0052481E"/>
    <w:rsid w:val="0053333C"/>
    <w:rsid w:val="00534BFA"/>
    <w:rsid w:val="00534C72"/>
    <w:rsid w:val="0053580E"/>
    <w:rsid w:val="005369B9"/>
    <w:rsid w:val="00536BC4"/>
    <w:rsid w:val="00540615"/>
    <w:rsid w:val="00543DFC"/>
    <w:rsid w:val="00544D70"/>
    <w:rsid w:val="00545BEE"/>
    <w:rsid w:val="00545CFA"/>
    <w:rsid w:val="00547EED"/>
    <w:rsid w:val="00551CA8"/>
    <w:rsid w:val="0055324B"/>
    <w:rsid w:val="00556BC4"/>
    <w:rsid w:val="00557169"/>
    <w:rsid w:val="00561F3B"/>
    <w:rsid w:val="0056259D"/>
    <w:rsid w:val="00565442"/>
    <w:rsid w:val="00565EE5"/>
    <w:rsid w:val="00570DC6"/>
    <w:rsid w:val="0057177A"/>
    <w:rsid w:val="0057241F"/>
    <w:rsid w:val="00572C67"/>
    <w:rsid w:val="00572D1B"/>
    <w:rsid w:val="00575331"/>
    <w:rsid w:val="00575768"/>
    <w:rsid w:val="00576744"/>
    <w:rsid w:val="00577B38"/>
    <w:rsid w:val="00580DE5"/>
    <w:rsid w:val="0058279D"/>
    <w:rsid w:val="00582CDD"/>
    <w:rsid w:val="00584D52"/>
    <w:rsid w:val="00587074"/>
    <w:rsid w:val="005870B0"/>
    <w:rsid w:val="00587382"/>
    <w:rsid w:val="00591DBC"/>
    <w:rsid w:val="005946E2"/>
    <w:rsid w:val="005A0BF6"/>
    <w:rsid w:val="005A58A3"/>
    <w:rsid w:val="005A7D97"/>
    <w:rsid w:val="005B2A95"/>
    <w:rsid w:val="005B3F6A"/>
    <w:rsid w:val="005C012F"/>
    <w:rsid w:val="005C043C"/>
    <w:rsid w:val="005C1879"/>
    <w:rsid w:val="005C1AF5"/>
    <w:rsid w:val="005C520E"/>
    <w:rsid w:val="005C5AE4"/>
    <w:rsid w:val="005D1500"/>
    <w:rsid w:val="005D21C7"/>
    <w:rsid w:val="005D28A9"/>
    <w:rsid w:val="005D4077"/>
    <w:rsid w:val="005E219D"/>
    <w:rsid w:val="005F1257"/>
    <w:rsid w:val="005F30A5"/>
    <w:rsid w:val="005F4AD4"/>
    <w:rsid w:val="005F6486"/>
    <w:rsid w:val="005F74E7"/>
    <w:rsid w:val="005F7DD5"/>
    <w:rsid w:val="00600C0F"/>
    <w:rsid w:val="0060156F"/>
    <w:rsid w:val="00601931"/>
    <w:rsid w:val="00603E47"/>
    <w:rsid w:val="00604E72"/>
    <w:rsid w:val="00606DBA"/>
    <w:rsid w:val="006117B5"/>
    <w:rsid w:val="00613FB0"/>
    <w:rsid w:val="006165EC"/>
    <w:rsid w:val="006167AE"/>
    <w:rsid w:val="006216A2"/>
    <w:rsid w:val="006219DF"/>
    <w:rsid w:val="00623691"/>
    <w:rsid w:val="006248D3"/>
    <w:rsid w:val="0063059B"/>
    <w:rsid w:val="0063242F"/>
    <w:rsid w:val="00633485"/>
    <w:rsid w:val="0063657D"/>
    <w:rsid w:val="00636869"/>
    <w:rsid w:val="00636FDF"/>
    <w:rsid w:val="00641CE7"/>
    <w:rsid w:val="00645946"/>
    <w:rsid w:val="006536BD"/>
    <w:rsid w:val="00654EF7"/>
    <w:rsid w:val="006555E6"/>
    <w:rsid w:val="00655677"/>
    <w:rsid w:val="0065709C"/>
    <w:rsid w:val="00657284"/>
    <w:rsid w:val="006609D1"/>
    <w:rsid w:val="00661EA0"/>
    <w:rsid w:val="00664E41"/>
    <w:rsid w:val="00666E90"/>
    <w:rsid w:val="00670C20"/>
    <w:rsid w:val="00670E81"/>
    <w:rsid w:val="006715E8"/>
    <w:rsid w:val="0067578F"/>
    <w:rsid w:val="00676069"/>
    <w:rsid w:val="0067663F"/>
    <w:rsid w:val="0067704C"/>
    <w:rsid w:val="00677555"/>
    <w:rsid w:val="00677F05"/>
    <w:rsid w:val="00681342"/>
    <w:rsid w:val="00681AC4"/>
    <w:rsid w:val="00683226"/>
    <w:rsid w:val="00687C5F"/>
    <w:rsid w:val="006903E4"/>
    <w:rsid w:val="006916BE"/>
    <w:rsid w:val="00697CD2"/>
    <w:rsid w:val="006A0323"/>
    <w:rsid w:val="006A2265"/>
    <w:rsid w:val="006A3424"/>
    <w:rsid w:val="006A7536"/>
    <w:rsid w:val="006A7714"/>
    <w:rsid w:val="006B072F"/>
    <w:rsid w:val="006B10BE"/>
    <w:rsid w:val="006B128E"/>
    <w:rsid w:val="006B14E2"/>
    <w:rsid w:val="006B41D0"/>
    <w:rsid w:val="006B635E"/>
    <w:rsid w:val="006B669B"/>
    <w:rsid w:val="006B7ABC"/>
    <w:rsid w:val="006C252A"/>
    <w:rsid w:val="006C42EA"/>
    <w:rsid w:val="006D07BF"/>
    <w:rsid w:val="006D1C4E"/>
    <w:rsid w:val="006D2A0B"/>
    <w:rsid w:val="006D6EA1"/>
    <w:rsid w:val="006E0124"/>
    <w:rsid w:val="006E1925"/>
    <w:rsid w:val="006E5A02"/>
    <w:rsid w:val="006E5AA6"/>
    <w:rsid w:val="006E621D"/>
    <w:rsid w:val="006F1F3F"/>
    <w:rsid w:val="006F246E"/>
    <w:rsid w:val="006F548F"/>
    <w:rsid w:val="006F711A"/>
    <w:rsid w:val="0070277F"/>
    <w:rsid w:val="00702878"/>
    <w:rsid w:val="00702A7E"/>
    <w:rsid w:val="00706214"/>
    <w:rsid w:val="00707CF6"/>
    <w:rsid w:val="00707DC8"/>
    <w:rsid w:val="00710BC2"/>
    <w:rsid w:val="00713B38"/>
    <w:rsid w:val="00715170"/>
    <w:rsid w:val="00716460"/>
    <w:rsid w:val="007164B8"/>
    <w:rsid w:val="00716F5F"/>
    <w:rsid w:val="00717D39"/>
    <w:rsid w:val="007214C3"/>
    <w:rsid w:val="00721C3C"/>
    <w:rsid w:val="007238FA"/>
    <w:rsid w:val="007310D0"/>
    <w:rsid w:val="00731283"/>
    <w:rsid w:val="0073176D"/>
    <w:rsid w:val="007321A8"/>
    <w:rsid w:val="007345AF"/>
    <w:rsid w:val="00734A7F"/>
    <w:rsid w:val="00735BDC"/>
    <w:rsid w:val="00735C49"/>
    <w:rsid w:val="007364CE"/>
    <w:rsid w:val="00737F90"/>
    <w:rsid w:val="00742077"/>
    <w:rsid w:val="00745412"/>
    <w:rsid w:val="00746544"/>
    <w:rsid w:val="007479DB"/>
    <w:rsid w:val="00750C96"/>
    <w:rsid w:val="00761544"/>
    <w:rsid w:val="00763DAC"/>
    <w:rsid w:val="00767603"/>
    <w:rsid w:val="00771B73"/>
    <w:rsid w:val="0077627F"/>
    <w:rsid w:val="00781542"/>
    <w:rsid w:val="00783291"/>
    <w:rsid w:val="00783D66"/>
    <w:rsid w:val="00784795"/>
    <w:rsid w:val="007A0A2F"/>
    <w:rsid w:val="007A29D0"/>
    <w:rsid w:val="007A41C8"/>
    <w:rsid w:val="007A51D2"/>
    <w:rsid w:val="007A57FB"/>
    <w:rsid w:val="007A5905"/>
    <w:rsid w:val="007A624F"/>
    <w:rsid w:val="007B2BB8"/>
    <w:rsid w:val="007B5098"/>
    <w:rsid w:val="007B53D3"/>
    <w:rsid w:val="007B759D"/>
    <w:rsid w:val="007B7E73"/>
    <w:rsid w:val="007C001B"/>
    <w:rsid w:val="007C0188"/>
    <w:rsid w:val="007C16E9"/>
    <w:rsid w:val="007C1F35"/>
    <w:rsid w:val="007C30D8"/>
    <w:rsid w:val="007C32CB"/>
    <w:rsid w:val="007C4122"/>
    <w:rsid w:val="007C4185"/>
    <w:rsid w:val="007D1984"/>
    <w:rsid w:val="007D2193"/>
    <w:rsid w:val="007D4D04"/>
    <w:rsid w:val="007D57B3"/>
    <w:rsid w:val="007D6A4F"/>
    <w:rsid w:val="007E07C6"/>
    <w:rsid w:val="007E200D"/>
    <w:rsid w:val="007E3606"/>
    <w:rsid w:val="007E3ABD"/>
    <w:rsid w:val="007E6C3D"/>
    <w:rsid w:val="007E7B58"/>
    <w:rsid w:val="007F01C5"/>
    <w:rsid w:val="007F1043"/>
    <w:rsid w:val="007F4A9D"/>
    <w:rsid w:val="00804076"/>
    <w:rsid w:val="00806D4D"/>
    <w:rsid w:val="00806DB2"/>
    <w:rsid w:val="00807C28"/>
    <w:rsid w:val="00810176"/>
    <w:rsid w:val="00812348"/>
    <w:rsid w:val="0081268A"/>
    <w:rsid w:val="008131BE"/>
    <w:rsid w:val="00813931"/>
    <w:rsid w:val="00814307"/>
    <w:rsid w:val="008176E6"/>
    <w:rsid w:val="00820D2D"/>
    <w:rsid w:val="008210C0"/>
    <w:rsid w:val="00821567"/>
    <w:rsid w:val="00821CB5"/>
    <w:rsid w:val="00824D1C"/>
    <w:rsid w:val="00826804"/>
    <w:rsid w:val="0082704C"/>
    <w:rsid w:val="008274B9"/>
    <w:rsid w:val="008336B1"/>
    <w:rsid w:val="00833A3F"/>
    <w:rsid w:val="008341F2"/>
    <w:rsid w:val="00835A13"/>
    <w:rsid w:val="00835C54"/>
    <w:rsid w:val="00836400"/>
    <w:rsid w:val="0083700D"/>
    <w:rsid w:val="008406EC"/>
    <w:rsid w:val="00840F99"/>
    <w:rsid w:val="00843255"/>
    <w:rsid w:val="00846B89"/>
    <w:rsid w:val="00851B72"/>
    <w:rsid w:val="00853584"/>
    <w:rsid w:val="00853A0D"/>
    <w:rsid w:val="00854A48"/>
    <w:rsid w:val="0085511D"/>
    <w:rsid w:val="00856A99"/>
    <w:rsid w:val="00856F34"/>
    <w:rsid w:val="00860D42"/>
    <w:rsid w:val="00864392"/>
    <w:rsid w:val="008713C8"/>
    <w:rsid w:val="008722DC"/>
    <w:rsid w:val="0087481E"/>
    <w:rsid w:val="008756AF"/>
    <w:rsid w:val="00882053"/>
    <w:rsid w:val="00882991"/>
    <w:rsid w:val="00883D85"/>
    <w:rsid w:val="0088448B"/>
    <w:rsid w:val="00890C9B"/>
    <w:rsid w:val="008947E5"/>
    <w:rsid w:val="008A3E8D"/>
    <w:rsid w:val="008A6836"/>
    <w:rsid w:val="008B0AFC"/>
    <w:rsid w:val="008B19E1"/>
    <w:rsid w:val="008B280B"/>
    <w:rsid w:val="008B345A"/>
    <w:rsid w:val="008B60D3"/>
    <w:rsid w:val="008C2CD0"/>
    <w:rsid w:val="008C6FD1"/>
    <w:rsid w:val="008C7500"/>
    <w:rsid w:val="008D10E9"/>
    <w:rsid w:val="008D26C0"/>
    <w:rsid w:val="008D34DB"/>
    <w:rsid w:val="008D732A"/>
    <w:rsid w:val="008E2180"/>
    <w:rsid w:val="008E2622"/>
    <w:rsid w:val="008E2AFE"/>
    <w:rsid w:val="008E350F"/>
    <w:rsid w:val="008E7FEE"/>
    <w:rsid w:val="008F377D"/>
    <w:rsid w:val="008F5780"/>
    <w:rsid w:val="008F79B9"/>
    <w:rsid w:val="00910F13"/>
    <w:rsid w:val="00913815"/>
    <w:rsid w:val="00915C3E"/>
    <w:rsid w:val="0091777A"/>
    <w:rsid w:val="00922652"/>
    <w:rsid w:val="00925FEB"/>
    <w:rsid w:val="00937637"/>
    <w:rsid w:val="0095048D"/>
    <w:rsid w:val="00952158"/>
    <w:rsid w:val="0095364D"/>
    <w:rsid w:val="00953C88"/>
    <w:rsid w:val="00954D73"/>
    <w:rsid w:val="00955B00"/>
    <w:rsid w:val="009601A8"/>
    <w:rsid w:val="00960839"/>
    <w:rsid w:val="0096085D"/>
    <w:rsid w:val="00962368"/>
    <w:rsid w:val="009628B7"/>
    <w:rsid w:val="00962984"/>
    <w:rsid w:val="0096334A"/>
    <w:rsid w:val="00964051"/>
    <w:rsid w:val="009641F2"/>
    <w:rsid w:val="009662B7"/>
    <w:rsid w:val="00966BAC"/>
    <w:rsid w:val="00970D49"/>
    <w:rsid w:val="009714FD"/>
    <w:rsid w:val="00971E64"/>
    <w:rsid w:val="0097462F"/>
    <w:rsid w:val="00974B16"/>
    <w:rsid w:val="00980DB8"/>
    <w:rsid w:val="00982AB2"/>
    <w:rsid w:val="0098355C"/>
    <w:rsid w:val="009A1B78"/>
    <w:rsid w:val="009A2E3E"/>
    <w:rsid w:val="009A3423"/>
    <w:rsid w:val="009A349D"/>
    <w:rsid w:val="009A35BF"/>
    <w:rsid w:val="009A4B3E"/>
    <w:rsid w:val="009B0033"/>
    <w:rsid w:val="009B28F7"/>
    <w:rsid w:val="009B3D90"/>
    <w:rsid w:val="009B48FA"/>
    <w:rsid w:val="009B4B68"/>
    <w:rsid w:val="009C21EF"/>
    <w:rsid w:val="009C6EF6"/>
    <w:rsid w:val="009D0485"/>
    <w:rsid w:val="009D5E3C"/>
    <w:rsid w:val="009D62DF"/>
    <w:rsid w:val="009E3D29"/>
    <w:rsid w:val="009E400F"/>
    <w:rsid w:val="009E68D8"/>
    <w:rsid w:val="009F23E1"/>
    <w:rsid w:val="009F6E77"/>
    <w:rsid w:val="00A00AE1"/>
    <w:rsid w:val="00A02922"/>
    <w:rsid w:val="00A0651C"/>
    <w:rsid w:val="00A16692"/>
    <w:rsid w:val="00A24F51"/>
    <w:rsid w:val="00A30424"/>
    <w:rsid w:val="00A31BBB"/>
    <w:rsid w:val="00A32CAC"/>
    <w:rsid w:val="00A33320"/>
    <w:rsid w:val="00A34AB9"/>
    <w:rsid w:val="00A36599"/>
    <w:rsid w:val="00A41189"/>
    <w:rsid w:val="00A41792"/>
    <w:rsid w:val="00A44426"/>
    <w:rsid w:val="00A45828"/>
    <w:rsid w:val="00A47BC5"/>
    <w:rsid w:val="00A50DDC"/>
    <w:rsid w:val="00A5129C"/>
    <w:rsid w:val="00A567E1"/>
    <w:rsid w:val="00A6023E"/>
    <w:rsid w:val="00A606D3"/>
    <w:rsid w:val="00A63694"/>
    <w:rsid w:val="00A669DD"/>
    <w:rsid w:val="00A70CD9"/>
    <w:rsid w:val="00A7114D"/>
    <w:rsid w:val="00A71E46"/>
    <w:rsid w:val="00A7608C"/>
    <w:rsid w:val="00A76BB5"/>
    <w:rsid w:val="00A81673"/>
    <w:rsid w:val="00A8556B"/>
    <w:rsid w:val="00A86ACF"/>
    <w:rsid w:val="00A90ABB"/>
    <w:rsid w:val="00A90AC4"/>
    <w:rsid w:val="00A90C08"/>
    <w:rsid w:val="00A919BB"/>
    <w:rsid w:val="00A95AA9"/>
    <w:rsid w:val="00AA1696"/>
    <w:rsid w:val="00AA1826"/>
    <w:rsid w:val="00AA1B0E"/>
    <w:rsid w:val="00AA2514"/>
    <w:rsid w:val="00AA2F8E"/>
    <w:rsid w:val="00AA38DF"/>
    <w:rsid w:val="00AA55BB"/>
    <w:rsid w:val="00AA719D"/>
    <w:rsid w:val="00AB59A9"/>
    <w:rsid w:val="00AB5E4A"/>
    <w:rsid w:val="00AB7BE0"/>
    <w:rsid w:val="00AC21A7"/>
    <w:rsid w:val="00AC244D"/>
    <w:rsid w:val="00AC2C24"/>
    <w:rsid w:val="00AD2E32"/>
    <w:rsid w:val="00AD2E7C"/>
    <w:rsid w:val="00AD307E"/>
    <w:rsid w:val="00AD30E5"/>
    <w:rsid w:val="00AD33A5"/>
    <w:rsid w:val="00AD3BD9"/>
    <w:rsid w:val="00AD4076"/>
    <w:rsid w:val="00AE1CEB"/>
    <w:rsid w:val="00AE26D0"/>
    <w:rsid w:val="00AE65EF"/>
    <w:rsid w:val="00AE7380"/>
    <w:rsid w:val="00AF0BC9"/>
    <w:rsid w:val="00AF0F87"/>
    <w:rsid w:val="00AF26BD"/>
    <w:rsid w:val="00AF294A"/>
    <w:rsid w:val="00AF6B8C"/>
    <w:rsid w:val="00B00BFC"/>
    <w:rsid w:val="00B00EF4"/>
    <w:rsid w:val="00B025CE"/>
    <w:rsid w:val="00B04076"/>
    <w:rsid w:val="00B05CED"/>
    <w:rsid w:val="00B11ADF"/>
    <w:rsid w:val="00B12A97"/>
    <w:rsid w:val="00B144B3"/>
    <w:rsid w:val="00B15C6D"/>
    <w:rsid w:val="00B257BC"/>
    <w:rsid w:val="00B30119"/>
    <w:rsid w:val="00B30976"/>
    <w:rsid w:val="00B31004"/>
    <w:rsid w:val="00B34B06"/>
    <w:rsid w:val="00B35867"/>
    <w:rsid w:val="00B35EDB"/>
    <w:rsid w:val="00B3645F"/>
    <w:rsid w:val="00B36D1E"/>
    <w:rsid w:val="00B41608"/>
    <w:rsid w:val="00B42680"/>
    <w:rsid w:val="00B43B63"/>
    <w:rsid w:val="00B4496A"/>
    <w:rsid w:val="00B453B2"/>
    <w:rsid w:val="00B46172"/>
    <w:rsid w:val="00B46E62"/>
    <w:rsid w:val="00B47477"/>
    <w:rsid w:val="00B517EA"/>
    <w:rsid w:val="00B53D54"/>
    <w:rsid w:val="00B61CBE"/>
    <w:rsid w:val="00B62005"/>
    <w:rsid w:val="00B64ECA"/>
    <w:rsid w:val="00B701D7"/>
    <w:rsid w:val="00B70607"/>
    <w:rsid w:val="00B71767"/>
    <w:rsid w:val="00B80750"/>
    <w:rsid w:val="00B8467A"/>
    <w:rsid w:val="00B87741"/>
    <w:rsid w:val="00B900B3"/>
    <w:rsid w:val="00B94433"/>
    <w:rsid w:val="00B96FF0"/>
    <w:rsid w:val="00BA2147"/>
    <w:rsid w:val="00BA2F75"/>
    <w:rsid w:val="00BA3488"/>
    <w:rsid w:val="00BA4BAD"/>
    <w:rsid w:val="00BB3183"/>
    <w:rsid w:val="00BB3D93"/>
    <w:rsid w:val="00BB4821"/>
    <w:rsid w:val="00BC27B7"/>
    <w:rsid w:val="00BC5986"/>
    <w:rsid w:val="00BC5F0F"/>
    <w:rsid w:val="00BC6B47"/>
    <w:rsid w:val="00BC7D63"/>
    <w:rsid w:val="00BD53C3"/>
    <w:rsid w:val="00BD5D9D"/>
    <w:rsid w:val="00BE203F"/>
    <w:rsid w:val="00BE3D05"/>
    <w:rsid w:val="00BE445A"/>
    <w:rsid w:val="00BE4E7F"/>
    <w:rsid w:val="00BE738C"/>
    <w:rsid w:val="00BF01E1"/>
    <w:rsid w:val="00BF0D15"/>
    <w:rsid w:val="00BF3626"/>
    <w:rsid w:val="00BF3DCF"/>
    <w:rsid w:val="00BF42D1"/>
    <w:rsid w:val="00BF5A15"/>
    <w:rsid w:val="00BF5C62"/>
    <w:rsid w:val="00BF7A0A"/>
    <w:rsid w:val="00C005A1"/>
    <w:rsid w:val="00C01BB3"/>
    <w:rsid w:val="00C063EA"/>
    <w:rsid w:val="00C06904"/>
    <w:rsid w:val="00C06E57"/>
    <w:rsid w:val="00C073F8"/>
    <w:rsid w:val="00C075F8"/>
    <w:rsid w:val="00C1133A"/>
    <w:rsid w:val="00C22923"/>
    <w:rsid w:val="00C24CD8"/>
    <w:rsid w:val="00C25192"/>
    <w:rsid w:val="00C27CE3"/>
    <w:rsid w:val="00C32066"/>
    <w:rsid w:val="00C36B72"/>
    <w:rsid w:val="00C40892"/>
    <w:rsid w:val="00C40D80"/>
    <w:rsid w:val="00C41558"/>
    <w:rsid w:val="00C419FA"/>
    <w:rsid w:val="00C4343C"/>
    <w:rsid w:val="00C441F9"/>
    <w:rsid w:val="00C46ED3"/>
    <w:rsid w:val="00C50A1A"/>
    <w:rsid w:val="00C51015"/>
    <w:rsid w:val="00C564D3"/>
    <w:rsid w:val="00C56DC3"/>
    <w:rsid w:val="00C572A2"/>
    <w:rsid w:val="00C601BE"/>
    <w:rsid w:val="00C6295B"/>
    <w:rsid w:val="00C66D1B"/>
    <w:rsid w:val="00C7134B"/>
    <w:rsid w:val="00C81692"/>
    <w:rsid w:val="00C859EC"/>
    <w:rsid w:val="00C9257D"/>
    <w:rsid w:val="00C96B3D"/>
    <w:rsid w:val="00CA054A"/>
    <w:rsid w:val="00CA1042"/>
    <w:rsid w:val="00CA1279"/>
    <w:rsid w:val="00CA2D35"/>
    <w:rsid w:val="00CA319E"/>
    <w:rsid w:val="00CA55D5"/>
    <w:rsid w:val="00CA69D4"/>
    <w:rsid w:val="00CB74D3"/>
    <w:rsid w:val="00CC10F9"/>
    <w:rsid w:val="00CC4ACA"/>
    <w:rsid w:val="00CC7186"/>
    <w:rsid w:val="00CD2F3E"/>
    <w:rsid w:val="00CD40A3"/>
    <w:rsid w:val="00CD5680"/>
    <w:rsid w:val="00CE066B"/>
    <w:rsid w:val="00CE11E1"/>
    <w:rsid w:val="00CE1B49"/>
    <w:rsid w:val="00CE2461"/>
    <w:rsid w:val="00CE2C04"/>
    <w:rsid w:val="00CE5194"/>
    <w:rsid w:val="00CE5A4C"/>
    <w:rsid w:val="00CE6834"/>
    <w:rsid w:val="00CE7B78"/>
    <w:rsid w:val="00CF2DF0"/>
    <w:rsid w:val="00CF3ABF"/>
    <w:rsid w:val="00CF5693"/>
    <w:rsid w:val="00CF573F"/>
    <w:rsid w:val="00CF5B3B"/>
    <w:rsid w:val="00CF64E9"/>
    <w:rsid w:val="00CF6765"/>
    <w:rsid w:val="00D03E08"/>
    <w:rsid w:val="00D04E2B"/>
    <w:rsid w:val="00D052F7"/>
    <w:rsid w:val="00D058E3"/>
    <w:rsid w:val="00D1044F"/>
    <w:rsid w:val="00D10612"/>
    <w:rsid w:val="00D1218A"/>
    <w:rsid w:val="00D123D8"/>
    <w:rsid w:val="00D1718F"/>
    <w:rsid w:val="00D17A9A"/>
    <w:rsid w:val="00D20932"/>
    <w:rsid w:val="00D20A1B"/>
    <w:rsid w:val="00D24A17"/>
    <w:rsid w:val="00D25450"/>
    <w:rsid w:val="00D3007E"/>
    <w:rsid w:val="00D30404"/>
    <w:rsid w:val="00D31BBE"/>
    <w:rsid w:val="00D328A8"/>
    <w:rsid w:val="00D3415D"/>
    <w:rsid w:val="00D448F4"/>
    <w:rsid w:val="00D45448"/>
    <w:rsid w:val="00D465C4"/>
    <w:rsid w:val="00D46959"/>
    <w:rsid w:val="00D46D50"/>
    <w:rsid w:val="00D503B5"/>
    <w:rsid w:val="00D50E72"/>
    <w:rsid w:val="00D5142C"/>
    <w:rsid w:val="00D55347"/>
    <w:rsid w:val="00D56AEE"/>
    <w:rsid w:val="00D64A6E"/>
    <w:rsid w:val="00D76F92"/>
    <w:rsid w:val="00D77A8C"/>
    <w:rsid w:val="00D8044A"/>
    <w:rsid w:val="00D80A18"/>
    <w:rsid w:val="00D817F6"/>
    <w:rsid w:val="00D827A8"/>
    <w:rsid w:val="00D870D4"/>
    <w:rsid w:val="00D93485"/>
    <w:rsid w:val="00D94BD8"/>
    <w:rsid w:val="00D97CE8"/>
    <w:rsid w:val="00D97FDF"/>
    <w:rsid w:val="00DA2FC1"/>
    <w:rsid w:val="00DA3E21"/>
    <w:rsid w:val="00DA7305"/>
    <w:rsid w:val="00DB1338"/>
    <w:rsid w:val="00DB14E1"/>
    <w:rsid w:val="00DB261B"/>
    <w:rsid w:val="00DB403E"/>
    <w:rsid w:val="00DB5CA1"/>
    <w:rsid w:val="00DB62AE"/>
    <w:rsid w:val="00DB6EB5"/>
    <w:rsid w:val="00DC0705"/>
    <w:rsid w:val="00DC5B13"/>
    <w:rsid w:val="00DD2D81"/>
    <w:rsid w:val="00DD4CF9"/>
    <w:rsid w:val="00DD5844"/>
    <w:rsid w:val="00DD6940"/>
    <w:rsid w:val="00DE0A21"/>
    <w:rsid w:val="00DE59BC"/>
    <w:rsid w:val="00DE7AE5"/>
    <w:rsid w:val="00DE7ECF"/>
    <w:rsid w:val="00DF1860"/>
    <w:rsid w:val="00DF4C63"/>
    <w:rsid w:val="00DF538C"/>
    <w:rsid w:val="00E023FA"/>
    <w:rsid w:val="00E027EA"/>
    <w:rsid w:val="00E03FE7"/>
    <w:rsid w:val="00E04279"/>
    <w:rsid w:val="00E04FCF"/>
    <w:rsid w:val="00E07E53"/>
    <w:rsid w:val="00E122FE"/>
    <w:rsid w:val="00E13865"/>
    <w:rsid w:val="00E20822"/>
    <w:rsid w:val="00E221B6"/>
    <w:rsid w:val="00E22378"/>
    <w:rsid w:val="00E2734A"/>
    <w:rsid w:val="00E343DC"/>
    <w:rsid w:val="00E34AAB"/>
    <w:rsid w:val="00E375F5"/>
    <w:rsid w:val="00E37E84"/>
    <w:rsid w:val="00E40C39"/>
    <w:rsid w:val="00E420D5"/>
    <w:rsid w:val="00E44663"/>
    <w:rsid w:val="00E458CF"/>
    <w:rsid w:val="00E45AC1"/>
    <w:rsid w:val="00E47500"/>
    <w:rsid w:val="00E47881"/>
    <w:rsid w:val="00E55E26"/>
    <w:rsid w:val="00E6330E"/>
    <w:rsid w:val="00E63EA7"/>
    <w:rsid w:val="00E6435D"/>
    <w:rsid w:val="00E64E6C"/>
    <w:rsid w:val="00E66C10"/>
    <w:rsid w:val="00E67885"/>
    <w:rsid w:val="00E7627A"/>
    <w:rsid w:val="00E80BA7"/>
    <w:rsid w:val="00E80E88"/>
    <w:rsid w:val="00E8251D"/>
    <w:rsid w:val="00E82797"/>
    <w:rsid w:val="00E83467"/>
    <w:rsid w:val="00E84056"/>
    <w:rsid w:val="00E86DDD"/>
    <w:rsid w:val="00E9032C"/>
    <w:rsid w:val="00E93E92"/>
    <w:rsid w:val="00E96B9E"/>
    <w:rsid w:val="00EA0431"/>
    <w:rsid w:val="00EA1FE0"/>
    <w:rsid w:val="00EA2124"/>
    <w:rsid w:val="00EA445C"/>
    <w:rsid w:val="00EA7B99"/>
    <w:rsid w:val="00EB407D"/>
    <w:rsid w:val="00EB487B"/>
    <w:rsid w:val="00EB6890"/>
    <w:rsid w:val="00EC02C2"/>
    <w:rsid w:val="00EC0392"/>
    <w:rsid w:val="00EC1FFF"/>
    <w:rsid w:val="00EC20F3"/>
    <w:rsid w:val="00EC2214"/>
    <w:rsid w:val="00EC2EC1"/>
    <w:rsid w:val="00EC405C"/>
    <w:rsid w:val="00EC5687"/>
    <w:rsid w:val="00EC6657"/>
    <w:rsid w:val="00ED13EB"/>
    <w:rsid w:val="00ED2899"/>
    <w:rsid w:val="00ED46FB"/>
    <w:rsid w:val="00ED6A41"/>
    <w:rsid w:val="00EE0F7B"/>
    <w:rsid w:val="00EE1EBF"/>
    <w:rsid w:val="00EE298D"/>
    <w:rsid w:val="00EF0882"/>
    <w:rsid w:val="00EF340D"/>
    <w:rsid w:val="00EF4D5A"/>
    <w:rsid w:val="00EF5023"/>
    <w:rsid w:val="00EF6128"/>
    <w:rsid w:val="00EF7061"/>
    <w:rsid w:val="00F01F8C"/>
    <w:rsid w:val="00F02137"/>
    <w:rsid w:val="00F02B72"/>
    <w:rsid w:val="00F05E35"/>
    <w:rsid w:val="00F108AE"/>
    <w:rsid w:val="00F11286"/>
    <w:rsid w:val="00F11F63"/>
    <w:rsid w:val="00F12A23"/>
    <w:rsid w:val="00F15FF7"/>
    <w:rsid w:val="00F171B7"/>
    <w:rsid w:val="00F20B01"/>
    <w:rsid w:val="00F27696"/>
    <w:rsid w:val="00F34631"/>
    <w:rsid w:val="00F34E49"/>
    <w:rsid w:val="00F3626D"/>
    <w:rsid w:val="00F362CD"/>
    <w:rsid w:val="00F37792"/>
    <w:rsid w:val="00F40553"/>
    <w:rsid w:val="00F40745"/>
    <w:rsid w:val="00F40D2E"/>
    <w:rsid w:val="00F4443B"/>
    <w:rsid w:val="00F5290A"/>
    <w:rsid w:val="00F5489B"/>
    <w:rsid w:val="00F54D61"/>
    <w:rsid w:val="00F54DA5"/>
    <w:rsid w:val="00F56B6E"/>
    <w:rsid w:val="00F619F3"/>
    <w:rsid w:val="00F63C4B"/>
    <w:rsid w:val="00F642C4"/>
    <w:rsid w:val="00F64306"/>
    <w:rsid w:val="00F64CBF"/>
    <w:rsid w:val="00F712EA"/>
    <w:rsid w:val="00F7276D"/>
    <w:rsid w:val="00F73882"/>
    <w:rsid w:val="00F73FC9"/>
    <w:rsid w:val="00F75A40"/>
    <w:rsid w:val="00F75B23"/>
    <w:rsid w:val="00F80FA3"/>
    <w:rsid w:val="00F829FE"/>
    <w:rsid w:val="00F84038"/>
    <w:rsid w:val="00F84F03"/>
    <w:rsid w:val="00F9145B"/>
    <w:rsid w:val="00F9602D"/>
    <w:rsid w:val="00FA1E2A"/>
    <w:rsid w:val="00FA30E6"/>
    <w:rsid w:val="00FA3CAC"/>
    <w:rsid w:val="00FA719A"/>
    <w:rsid w:val="00FB5284"/>
    <w:rsid w:val="00FB7423"/>
    <w:rsid w:val="00FB758C"/>
    <w:rsid w:val="00FC0C96"/>
    <w:rsid w:val="00FC5024"/>
    <w:rsid w:val="00FD0B6F"/>
    <w:rsid w:val="00FD13F3"/>
    <w:rsid w:val="00FD1E56"/>
    <w:rsid w:val="00FD5D47"/>
    <w:rsid w:val="00FD63F7"/>
    <w:rsid w:val="00FD7014"/>
    <w:rsid w:val="00FD7924"/>
    <w:rsid w:val="00FE0CB6"/>
    <w:rsid w:val="00FE1A33"/>
    <w:rsid w:val="00FE2951"/>
    <w:rsid w:val="00FE2DDE"/>
    <w:rsid w:val="00FE4A99"/>
    <w:rsid w:val="00FE5D9E"/>
    <w:rsid w:val="00FE6859"/>
    <w:rsid w:val="00FE76CD"/>
    <w:rsid w:val="00FE7766"/>
    <w:rsid w:val="00FF01BD"/>
    <w:rsid w:val="00FF1172"/>
    <w:rsid w:val="00FF3390"/>
    <w:rsid w:val="00FF3B93"/>
    <w:rsid w:val="00FF537A"/>
    <w:rsid w:val="00FF60B3"/>
    <w:rsid w:val="00FF66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A4FF6"/>
  <w15:chartTrackingRefBased/>
  <w15:docId w15:val="{49276DC2-30DC-114E-BBCC-C8A8391F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28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F36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6C42E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BC2"/>
    <w:pPr>
      <w:ind w:left="720"/>
      <w:contextualSpacing/>
    </w:pPr>
  </w:style>
  <w:style w:type="paragraph" w:styleId="Header">
    <w:name w:val="header"/>
    <w:basedOn w:val="Normal"/>
    <w:link w:val="HeaderChar"/>
    <w:uiPriority w:val="99"/>
    <w:unhideWhenUsed/>
    <w:rsid w:val="00CF5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73F"/>
  </w:style>
  <w:style w:type="paragraph" w:styleId="Footer">
    <w:name w:val="footer"/>
    <w:basedOn w:val="Normal"/>
    <w:link w:val="FooterChar"/>
    <w:uiPriority w:val="99"/>
    <w:unhideWhenUsed/>
    <w:rsid w:val="00CF5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73F"/>
  </w:style>
  <w:style w:type="paragraph" w:styleId="BalloonText">
    <w:name w:val="Balloon Text"/>
    <w:basedOn w:val="Normal"/>
    <w:link w:val="BalloonTextChar"/>
    <w:uiPriority w:val="99"/>
    <w:semiHidden/>
    <w:unhideWhenUsed/>
    <w:rsid w:val="006D6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EA1"/>
    <w:rPr>
      <w:rFonts w:ascii="Segoe UI" w:hAnsi="Segoe UI" w:cs="Segoe UI"/>
      <w:sz w:val="18"/>
      <w:szCs w:val="18"/>
    </w:rPr>
  </w:style>
  <w:style w:type="paragraph" w:styleId="Revision">
    <w:name w:val="Revision"/>
    <w:hidden/>
    <w:uiPriority w:val="99"/>
    <w:semiHidden/>
    <w:rsid w:val="006D6EA1"/>
    <w:pPr>
      <w:spacing w:after="0" w:line="240" w:lineRule="auto"/>
    </w:pPr>
  </w:style>
  <w:style w:type="paragraph" w:customStyle="1" w:styleId="HeadingSpecial">
    <w:name w:val="HeadingSpecial"/>
    <w:basedOn w:val="Normal"/>
    <w:qFormat/>
    <w:rsid w:val="005C1AF5"/>
    <w:pPr>
      <w:spacing w:after="0" w:line="240" w:lineRule="auto"/>
      <w:jc w:val="both"/>
    </w:pPr>
    <w:rPr>
      <w:rFonts w:ascii="Arial" w:hAnsi="Arial" w:cs="Arial"/>
      <w:b/>
      <w:sz w:val="20"/>
      <w:szCs w:val="20"/>
    </w:rPr>
  </w:style>
  <w:style w:type="character" w:styleId="Hyperlink">
    <w:name w:val="Hyperlink"/>
    <w:basedOn w:val="DefaultParagraphFont"/>
    <w:uiPriority w:val="99"/>
    <w:unhideWhenUsed/>
    <w:rsid w:val="005C1AF5"/>
    <w:rPr>
      <w:color w:val="0563C1" w:themeColor="hyperlink"/>
      <w:u w:val="single"/>
    </w:rPr>
  </w:style>
  <w:style w:type="character" w:styleId="FollowedHyperlink">
    <w:name w:val="FollowedHyperlink"/>
    <w:basedOn w:val="DefaultParagraphFont"/>
    <w:uiPriority w:val="99"/>
    <w:semiHidden/>
    <w:unhideWhenUsed/>
    <w:rsid w:val="005C1AF5"/>
    <w:rPr>
      <w:color w:val="954F72" w:themeColor="followedHyperlink"/>
      <w:u w:val="single"/>
    </w:rPr>
  </w:style>
  <w:style w:type="character" w:styleId="CommentReference">
    <w:name w:val="annotation reference"/>
    <w:basedOn w:val="DefaultParagraphFont"/>
    <w:uiPriority w:val="99"/>
    <w:semiHidden/>
    <w:unhideWhenUsed/>
    <w:rsid w:val="00BC5F0F"/>
    <w:rPr>
      <w:sz w:val="16"/>
      <w:szCs w:val="16"/>
    </w:rPr>
  </w:style>
  <w:style w:type="paragraph" w:styleId="CommentText">
    <w:name w:val="annotation text"/>
    <w:basedOn w:val="Normal"/>
    <w:link w:val="CommentTextChar"/>
    <w:uiPriority w:val="99"/>
    <w:semiHidden/>
    <w:unhideWhenUsed/>
    <w:rsid w:val="00BC5F0F"/>
    <w:pPr>
      <w:spacing w:line="240" w:lineRule="auto"/>
    </w:pPr>
    <w:rPr>
      <w:sz w:val="20"/>
      <w:szCs w:val="20"/>
    </w:rPr>
  </w:style>
  <w:style w:type="character" w:customStyle="1" w:styleId="CommentTextChar">
    <w:name w:val="Comment Text Char"/>
    <w:basedOn w:val="DefaultParagraphFont"/>
    <w:link w:val="CommentText"/>
    <w:uiPriority w:val="99"/>
    <w:semiHidden/>
    <w:rsid w:val="00BC5F0F"/>
    <w:rPr>
      <w:sz w:val="20"/>
      <w:szCs w:val="20"/>
    </w:rPr>
  </w:style>
  <w:style w:type="paragraph" w:styleId="CommentSubject">
    <w:name w:val="annotation subject"/>
    <w:basedOn w:val="CommentText"/>
    <w:next w:val="CommentText"/>
    <w:link w:val="CommentSubjectChar"/>
    <w:uiPriority w:val="99"/>
    <w:semiHidden/>
    <w:unhideWhenUsed/>
    <w:rsid w:val="00BC5F0F"/>
    <w:rPr>
      <w:b/>
      <w:bCs/>
    </w:rPr>
  </w:style>
  <w:style w:type="character" w:customStyle="1" w:styleId="CommentSubjectChar">
    <w:name w:val="Comment Subject Char"/>
    <w:basedOn w:val="CommentTextChar"/>
    <w:link w:val="CommentSubject"/>
    <w:uiPriority w:val="99"/>
    <w:semiHidden/>
    <w:rsid w:val="00BC5F0F"/>
    <w:rPr>
      <w:b/>
      <w:bCs/>
      <w:sz w:val="20"/>
      <w:szCs w:val="20"/>
    </w:rPr>
  </w:style>
  <w:style w:type="paragraph" w:styleId="NormalWeb">
    <w:name w:val="Normal (Web)"/>
    <w:basedOn w:val="Normal"/>
    <w:uiPriority w:val="99"/>
    <w:semiHidden/>
    <w:unhideWhenUsed/>
    <w:rsid w:val="00BA214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565EE5"/>
    <w:rPr>
      <w:color w:val="605E5C"/>
      <w:shd w:val="clear" w:color="auto" w:fill="E1DFDD"/>
    </w:rPr>
  </w:style>
  <w:style w:type="character" w:customStyle="1" w:styleId="Heading2Char">
    <w:name w:val="Heading 2 Char"/>
    <w:basedOn w:val="DefaultParagraphFont"/>
    <w:link w:val="Heading2"/>
    <w:uiPriority w:val="9"/>
    <w:rsid w:val="00BF3626"/>
    <w:rPr>
      <w:rFonts w:ascii="Times New Roman" w:eastAsia="Times New Roman" w:hAnsi="Times New Roman" w:cs="Times New Roman"/>
      <w:b/>
      <w:bCs/>
      <w:sz w:val="36"/>
      <w:szCs w:val="36"/>
    </w:rPr>
  </w:style>
  <w:style w:type="character" w:customStyle="1" w:styleId="display-block">
    <w:name w:val="display-block"/>
    <w:basedOn w:val="DefaultParagraphFont"/>
    <w:rsid w:val="00BF3626"/>
  </w:style>
  <w:style w:type="paragraph" w:styleId="FootnoteText">
    <w:name w:val="footnote text"/>
    <w:basedOn w:val="Normal"/>
    <w:link w:val="FootnoteTextChar"/>
    <w:uiPriority w:val="99"/>
    <w:semiHidden/>
    <w:unhideWhenUsed/>
    <w:rsid w:val="00D448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48F4"/>
    <w:rPr>
      <w:sz w:val="20"/>
      <w:szCs w:val="20"/>
    </w:rPr>
  </w:style>
  <w:style w:type="character" w:styleId="FootnoteReference">
    <w:name w:val="footnote reference"/>
    <w:basedOn w:val="DefaultParagraphFont"/>
    <w:uiPriority w:val="99"/>
    <w:semiHidden/>
    <w:unhideWhenUsed/>
    <w:rsid w:val="00D448F4"/>
    <w:rPr>
      <w:vertAlign w:val="superscript"/>
    </w:rPr>
  </w:style>
  <w:style w:type="character" w:customStyle="1" w:styleId="Heading1Char">
    <w:name w:val="Heading 1 Char"/>
    <w:basedOn w:val="DefaultParagraphFont"/>
    <w:link w:val="Heading1"/>
    <w:uiPriority w:val="9"/>
    <w:rsid w:val="005D28A9"/>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C42EA"/>
    <w:rPr>
      <w:i/>
      <w:iCs/>
    </w:rPr>
  </w:style>
  <w:style w:type="character" w:customStyle="1" w:styleId="Heading4Char">
    <w:name w:val="Heading 4 Char"/>
    <w:basedOn w:val="DefaultParagraphFont"/>
    <w:link w:val="Heading4"/>
    <w:uiPriority w:val="9"/>
    <w:semiHidden/>
    <w:rsid w:val="006C42EA"/>
    <w:rPr>
      <w:rFonts w:asciiTheme="majorHAnsi" w:eastAsiaTheme="majorEastAsia" w:hAnsiTheme="majorHAnsi" w:cstheme="majorBidi"/>
      <w:i/>
      <w:iCs/>
      <w:color w:val="2E74B5" w:themeColor="accent1" w:themeShade="BF"/>
    </w:rPr>
  </w:style>
  <w:style w:type="paragraph" w:customStyle="1" w:styleId="gmail-msolistparagraph">
    <w:name w:val="gmail-msolistparagraph"/>
    <w:basedOn w:val="Normal"/>
    <w:rsid w:val="00000A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2">
    <w:name w:val="x_contentpasted2"/>
    <w:basedOn w:val="DefaultParagraphFont"/>
    <w:rsid w:val="008406EC"/>
  </w:style>
  <w:style w:type="character" w:customStyle="1" w:styleId="xcontentpasted1">
    <w:name w:val="x_contentpasted1"/>
    <w:basedOn w:val="DefaultParagraphFont"/>
    <w:rsid w:val="008D1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320">
      <w:bodyDiv w:val="1"/>
      <w:marLeft w:val="0"/>
      <w:marRight w:val="0"/>
      <w:marTop w:val="0"/>
      <w:marBottom w:val="0"/>
      <w:divBdr>
        <w:top w:val="none" w:sz="0" w:space="0" w:color="auto"/>
        <w:left w:val="none" w:sz="0" w:space="0" w:color="auto"/>
        <w:bottom w:val="none" w:sz="0" w:space="0" w:color="auto"/>
        <w:right w:val="none" w:sz="0" w:space="0" w:color="auto"/>
      </w:divBdr>
    </w:div>
    <w:div w:id="43721518">
      <w:bodyDiv w:val="1"/>
      <w:marLeft w:val="0"/>
      <w:marRight w:val="0"/>
      <w:marTop w:val="0"/>
      <w:marBottom w:val="0"/>
      <w:divBdr>
        <w:top w:val="none" w:sz="0" w:space="0" w:color="auto"/>
        <w:left w:val="none" w:sz="0" w:space="0" w:color="auto"/>
        <w:bottom w:val="none" w:sz="0" w:space="0" w:color="auto"/>
        <w:right w:val="none" w:sz="0" w:space="0" w:color="auto"/>
      </w:divBdr>
    </w:div>
    <w:div w:id="77795180">
      <w:bodyDiv w:val="1"/>
      <w:marLeft w:val="0"/>
      <w:marRight w:val="0"/>
      <w:marTop w:val="0"/>
      <w:marBottom w:val="0"/>
      <w:divBdr>
        <w:top w:val="none" w:sz="0" w:space="0" w:color="auto"/>
        <w:left w:val="none" w:sz="0" w:space="0" w:color="auto"/>
        <w:bottom w:val="none" w:sz="0" w:space="0" w:color="auto"/>
        <w:right w:val="none" w:sz="0" w:space="0" w:color="auto"/>
      </w:divBdr>
    </w:div>
    <w:div w:id="84688928">
      <w:bodyDiv w:val="1"/>
      <w:marLeft w:val="0"/>
      <w:marRight w:val="0"/>
      <w:marTop w:val="0"/>
      <w:marBottom w:val="0"/>
      <w:divBdr>
        <w:top w:val="none" w:sz="0" w:space="0" w:color="auto"/>
        <w:left w:val="none" w:sz="0" w:space="0" w:color="auto"/>
        <w:bottom w:val="none" w:sz="0" w:space="0" w:color="auto"/>
        <w:right w:val="none" w:sz="0" w:space="0" w:color="auto"/>
      </w:divBdr>
    </w:div>
    <w:div w:id="96755616">
      <w:bodyDiv w:val="1"/>
      <w:marLeft w:val="0"/>
      <w:marRight w:val="0"/>
      <w:marTop w:val="0"/>
      <w:marBottom w:val="0"/>
      <w:divBdr>
        <w:top w:val="none" w:sz="0" w:space="0" w:color="auto"/>
        <w:left w:val="none" w:sz="0" w:space="0" w:color="auto"/>
        <w:bottom w:val="none" w:sz="0" w:space="0" w:color="auto"/>
        <w:right w:val="none" w:sz="0" w:space="0" w:color="auto"/>
      </w:divBdr>
    </w:div>
    <w:div w:id="104662243">
      <w:bodyDiv w:val="1"/>
      <w:marLeft w:val="0"/>
      <w:marRight w:val="0"/>
      <w:marTop w:val="0"/>
      <w:marBottom w:val="0"/>
      <w:divBdr>
        <w:top w:val="none" w:sz="0" w:space="0" w:color="auto"/>
        <w:left w:val="none" w:sz="0" w:space="0" w:color="auto"/>
        <w:bottom w:val="none" w:sz="0" w:space="0" w:color="auto"/>
        <w:right w:val="none" w:sz="0" w:space="0" w:color="auto"/>
      </w:divBdr>
    </w:div>
    <w:div w:id="144665438">
      <w:bodyDiv w:val="1"/>
      <w:marLeft w:val="0"/>
      <w:marRight w:val="0"/>
      <w:marTop w:val="0"/>
      <w:marBottom w:val="0"/>
      <w:divBdr>
        <w:top w:val="none" w:sz="0" w:space="0" w:color="auto"/>
        <w:left w:val="none" w:sz="0" w:space="0" w:color="auto"/>
        <w:bottom w:val="none" w:sz="0" w:space="0" w:color="auto"/>
        <w:right w:val="none" w:sz="0" w:space="0" w:color="auto"/>
      </w:divBdr>
    </w:div>
    <w:div w:id="146285464">
      <w:bodyDiv w:val="1"/>
      <w:marLeft w:val="0"/>
      <w:marRight w:val="0"/>
      <w:marTop w:val="0"/>
      <w:marBottom w:val="0"/>
      <w:divBdr>
        <w:top w:val="none" w:sz="0" w:space="0" w:color="auto"/>
        <w:left w:val="none" w:sz="0" w:space="0" w:color="auto"/>
        <w:bottom w:val="none" w:sz="0" w:space="0" w:color="auto"/>
        <w:right w:val="none" w:sz="0" w:space="0" w:color="auto"/>
      </w:divBdr>
    </w:div>
    <w:div w:id="179783277">
      <w:bodyDiv w:val="1"/>
      <w:marLeft w:val="0"/>
      <w:marRight w:val="0"/>
      <w:marTop w:val="0"/>
      <w:marBottom w:val="0"/>
      <w:divBdr>
        <w:top w:val="none" w:sz="0" w:space="0" w:color="auto"/>
        <w:left w:val="none" w:sz="0" w:space="0" w:color="auto"/>
        <w:bottom w:val="none" w:sz="0" w:space="0" w:color="auto"/>
        <w:right w:val="none" w:sz="0" w:space="0" w:color="auto"/>
      </w:divBdr>
    </w:div>
    <w:div w:id="193885039">
      <w:bodyDiv w:val="1"/>
      <w:marLeft w:val="0"/>
      <w:marRight w:val="0"/>
      <w:marTop w:val="0"/>
      <w:marBottom w:val="0"/>
      <w:divBdr>
        <w:top w:val="none" w:sz="0" w:space="0" w:color="auto"/>
        <w:left w:val="none" w:sz="0" w:space="0" w:color="auto"/>
        <w:bottom w:val="none" w:sz="0" w:space="0" w:color="auto"/>
        <w:right w:val="none" w:sz="0" w:space="0" w:color="auto"/>
      </w:divBdr>
    </w:div>
    <w:div w:id="217320930">
      <w:bodyDiv w:val="1"/>
      <w:marLeft w:val="0"/>
      <w:marRight w:val="0"/>
      <w:marTop w:val="0"/>
      <w:marBottom w:val="0"/>
      <w:divBdr>
        <w:top w:val="none" w:sz="0" w:space="0" w:color="auto"/>
        <w:left w:val="none" w:sz="0" w:space="0" w:color="auto"/>
        <w:bottom w:val="none" w:sz="0" w:space="0" w:color="auto"/>
        <w:right w:val="none" w:sz="0" w:space="0" w:color="auto"/>
      </w:divBdr>
    </w:div>
    <w:div w:id="236408313">
      <w:bodyDiv w:val="1"/>
      <w:marLeft w:val="0"/>
      <w:marRight w:val="0"/>
      <w:marTop w:val="0"/>
      <w:marBottom w:val="0"/>
      <w:divBdr>
        <w:top w:val="none" w:sz="0" w:space="0" w:color="auto"/>
        <w:left w:val="none" w:sz="0" w:space="0" w:color="auto"/>
        <w:bottom w:val="none" w:sz="0" w:space="0" w:color="auto"/>
        <w:right w:val="none" w:sz="0" w:space="0" w:color="auto"/>
      </w:divBdr>
    </w:div>
    <w:div w:id="245386116">
      <w:bodyDiv w:val="1"/>
      <w:marLeft w:val="0"/>
      <w:marRight w:val="0"/>
      <w:marTop w:val="0"/>
      <w:marBottom w:val="0"/>
      <w:divBdr>
        <w:top w:val="none" w:sz="0" w:space="0" w:color="auto"/>
        <w:left w:val="none" w:sz="0" w:space="0" w:color="auto"/>
        <w:bottom w:val="none" w:sz="0" w:space="0" w:color="auto"/>
        <w:right w:val="none" w:sz="0" w:space="0" w:color="auto"/>
      </w:divBdr>
    </w:div>
    <w:div w:id="252664326">
      <w:bodyDiv w:val="1"/>
      <w:marLeft w:val="0"/>
      <w:marRight w:val="0"/>
      <w:marTop w:val="0"/>
      <w:marBottom w:val="0"/>
      <w:divBdr>
        <w:top w:val="none" w:sz="0" w:space="0" w:color="auto"/>
        <w:left w:val="none" w:sz="0" w:space="0" w:color="auto"/>
        <w:bottom w:val="none" w:sz="0" w:space="0" w:color="auto"/>
        <w:right w:val="none" w:sz="0" w:space="0" w:color="auto"/>
      </w:divBdr>
    </w:div>
    <w:div w:id="256016131">
      <w:bodyDiv w:val="1"/>
      <w:marLeft w:val="0"/>
      <w:marRight w:val="0"/>
      <w:marTop w:val="0"/>
      <w:marBottom w:val="0"/>
      <w:divBdr>
        <w:top w:val="none" w:sz="0" w:space="0" w:color="auto"/>
        <w:left w:val="none" w:sz="0" w:space="0" w:color="auto"/>
        <w:bottom w:val="none" w:sz="0" w:space="0" w:color="auto"/>
        <w:right w:val="none" w:sz="0" w:space="0" w:color="auto"/>
      </w:divBdr>
    </w:div>
    <w:div w:id="295569563">
      <w:bodyDiv w:val="1"/>
      <w:marLeft w:val="0"/>
      <w:marRight w:val="0"/>
      <w:marTop w:val="0"/>
      <w:marBottom w:val="0"/>
      <w:divBdr>
        <w:top w:val="none" w:sz="0" w:space="0" w:color="auto"/>
        <w:left w:val="none" w:sz="0" w:space="0" w:color="auto"/>
        <w:bottom w:val="none" w:sz="0" w:space="0" w:color="auto"/>
        <w:right w:val="none" w:sz="0" w:space="0" w:color="auto"/>
      </w:divBdr>
    </w:div>
    <w:div w:id="316692988">
      <w:bodyDiv w:val="1"/>
      <w:marLeft w:val="0"/>
      <w:marRight w:val="0"/>
      <w:marTop w:val="0"/>
      <w:marBottom w:val="0"/>
      <w:divBdr>
        <w:top w:val="none" w:sz="0" w:space="0" w:color="auto"/>
        <w:left w:val="none" w:sz="0" w:space="0" w:color="auto"/>
        <w:bottom w:val="none" w:sz="0" w:space="0" w:color="auto"/>
        <w:right w:val="none" w:sz="0" w:space="0" w:color="auto"/>
      </w:divBdr>
    </w:div>
    <w:div w:id="408505330">
      <w:bodyDiv w:val="1"/>
      <w:marLeft w:val="0"/>
      <w:marRight w:val="0"/>
      <w:marTop w:val="0"/>
      <w:marBottom w:val="0"/>
      <w:divBdr>
        <w:top w:val="none" w:sz="0" w:space="0" w:color="auto"/>
        <w:left w:val="none" w:sz="0" w:space="0" w:color="auto"/>
        <w:bottom w:val="none" w:sz="0" w:space="0" w:color="auto"/>
        <w:right w:val="none" w:sz="0" w:space="0" w:color="auto"/>
      </w:divBdr>
    </w:div>
    <w:div w:id="418992332">
      <w:bodyDiv w:val="1"/>
      <w:marLeft w:val="0"/>
      <w:marRight w:val="0"/>
      <w:marTop w:val="0"/>
      <w:marBottom w:val="0"/>
      <w:divBdr>
        <w:top w:val="none" w:sz="0" w:space="0" w:color="auto"/>
        <w:left w:val="none" w:sz="0" w:space="0" w:color="auto"/>
        <w:bottom w:val="none" w:sz="0" w:space="0" w:color="auto"/>
        <w:right w:val="none" w:sz="0" w:space="0" w:color="auto"/>
      </w:divBdr>
    </w:div>
    <w:div w:id="431049325">
      <w:bodyDiv w:val="1"/>
      <w:marLeft w:val="0"/>
      <w:marRight w:val="0"/>
      <w:marTop w:val="0"/>
      <w:marBottom w:val="0"/>
      <w:divBdr>
        <w:top w:val="none" w:sz="0" w:space="0" w:color="auto"/>
        <w:left w:val="none" w:sz="0" w:space="0" w:color="auto"/>
        <w:bottom w:val="none" w:sz="0" w:space="0" w:color="auto"/>
        <w:right w:val="none" w:sz="0" w:space="0" w:color="auto"/>
      </w:divBdr>
    </w:div>
    <w:div w:id="444931430">
      <w:bodyDiv w:val="1"/>
      <w:marLeft w:val="0"/>
      <w:marRight w:val="0"/>
      <w:marTop w:val="0"/>
      <w:marBottom w:val="0"/>
      <w:divBdr>
        <w:top w:val="none" w:sz="0" w:space="0" w:color="auto"/>
        <w:left w:val="none" w:sz="0" w:space="0" w:color="auto"/>
        <w:bottom w:val="none" w:sz="0" w:space="0" w:color="auto"/>
        <w:right w:val="none" w:sz="0" w:space="0" w:color="auto"/>
      </w:divBdr>
    </w:div>
    <w:div w:id="464080693">
      <w:bodyDiv w:val="1"/>
      <w:marLeft w:val="0"/>
      <w:marRight w:val="0"/>
      <w:marTop w:val="0"/>
      <w:marBottom w:val="0"/>
      <w:divBdr>
        <w:top w:val="none" w:sz="0" w:space="0" w:color="auto"/>
        <w:left w:val="none" w:sz="0" w:space="0" w:color="auto"/>
        <w:bottom w:val="none" w:sz="0" w:space="0" w:color="auto"/>
        <w:right w:val="none" w:sz="0" w:space="0" w:color="auto"/>
      </w:divBdr>
    </w:div>
    <w:div w:id="486098173">
      <w:bodyDiv w:val="1"/>
      <w:marLeft w:val="0"/>
      <w:marRight w:val="0"/>
      <w:marTop w:val="0"/>
      <w:marBottom w:val="0"/>
      <w:divBdr>
        <w:top w:val="none" w:sz="0" w:space="0" w:color="auto"/>
        <w:left w:val="none" w:sz="0" w:space="0" w:color="auto"/>
        <w:bottom w:val="none" w:sz="0" w:space="0" w:color="auto"/>
        <w:right w:val="none" w:sz="0" w:space="0" w:color="auto"/>
      </w:divBdr>
    </w:div>
    <w:div w:id="554704125">
      <w:bodyDiv w:val="1"/>
      <w:marLeft w:val="0"/>
      <w:marRight w:val="0"/>
      <w:marTop w:val="0"/>
      <w:marBottom w:val="0"/>
      <w:divBdr>
        <w:top w:val="none" w:sz="0" w:space="0" w:color="auto"/>
        <w:left w:val="none" w:sz="0" w:space="0" w:color="auto"/>
        <w:bottom w:val="none" w:sz="0" w:space="0" w:color="auto"/>
        <w:right w:val="none" w:sz="0" w:space="0" w:color="auto"/>
      </w:divBdr>
    </w:div>
    <w:div w:id="576942971">
      <w:bodyDiv w:val="1"/>
      <w:marLeft w:val="0"/>
      <w:marRight w:val="0"/>
      <w:marTop w:val="0"/>
      <w:marBottom w:val="0"/>
      <w:divBdr>
        <w:top w:val="none" w:sz="0" w:space="0" w:color="auto"/>
        <w:left w:val="none" w:sz="0" w:space="0" w:color="auto"/>
        <w:bottom w:val="none" w:sz="0" w:space="0" w:color="auto"/>
        <w:right w:val="none" w:sz="0" w:space="0" w:color="auto"/>
      </w:divBdr>
    </w:div>
    <w:div w:id="579022942">
      <w:bodyDiv w:val="1"/>
      <w:marLeft w:val="0"/>
      <w:marRight w:val="0"/>
      <w:marTop w:val="0"/>
      <w:marBottom w:val="0"/>
      <w:divBdr>
        <w:top w:val="none" w:sz="0" w:space="0" w:color="auto"/>
        <w:left w:val="none" w:sz="0" w:space="0" w:color="auto"/>
        <w:bottom w:val="none" w:sz="0" w:space="0" w:color="auto"/>
        <w:right w:val="none" w:sz="0" w:space="0" w:color="auto"/>
      </w:divBdr>
    </w:div>
    <w:div w:id="581985216">
      <w:bodyDiv w:val="1"/>
      <w:marLeft w:val="0"/>
      <w:marRight w:val="0"/>
      <w:marTop w:val="0"/>
      <w:marBottom w:val="0"/>
      <w:divBdr>
        <w:top w:val="none" w:sz="0" w:space="0" w:color="auto"/>
        <w:left w:val="none" w:sz="0" w:space="0" w:color="auto"/>
        <w:bottom w:val="none" w:sz="0" w:space="0" w:color="auto"/>
        <w:right w:val="none" w:sz="0" w:space="0" w:color="auto"/>
      </w:divBdr>
    </w:div>
    <w:div w:id="583147886">
      <w:bodyDiv w:val="1"/>
      <w:marLeft w:val="0"/>
      <w:marRight w:val="0"/>
      <w:marTop w:val="0"/>
      <w:marBottom w:val="0"/>
      <w:divBdr>
        <w:top w:val="none" w:sz="0" w:space="0" w:color="auto"/>
        <w:left w:val="none" w:sz="0" w:space="0" w:color="auto"/>
        <w:bottom w:val="none" w:sz="0" w:space="0" w:color="auto"/>
        <w:right w:val="none" w:sz="0" w:space="0" w:color="auto"/>
      </w:divBdr>
    </w:div>
    <w:div w:id="589974678">
      <w:bodyDiv w:val="1"/>
      <w:marLeft w:val="0"/>
      <w:marRight w:val="0"/>
      <w:marTop w:val="0"/>
      <w:marBottom w:val="0"/>
      <w:divBdr>
        <w:top w:val="none" w:sz="0" w:space="0" w:color="auto"/>
        <w:left w:val="none" w:sz="0" w:space="0" w:color="auto"/>
        <w:bottom w:val="none" w:sz="0" w:space="0" w:color="auto"/>
        <w:right w:val="none" w:sz="0" w:space="0" w:color="auto"/>
      </w:divBdr>
    </w:div>
    <w:div w:id="596523713">
      <w:bodyDiv w:val="1"/>
      <w:marLeft w:val="0"/>
      <w:marRight w:val="0"/>
      <w:marTop w:val="0"/>
      <w:marBottom w:val="0"/>
      <w:divBdr>
        <w:top w:val="none" w:sz="0" w:space="0" w:color="auto"/>
        <w:left w:val="none" w:sz="0" w:space="0" w:color="auto"/>
        <w:bottom w:val="none" w:sz="0" w:space="0" w:color="auto"/>
        <w:right w:val="none" w:sz="0" w:space="0" w:color="auto"/>
      </w:divBdr>
    </w:div>
    <w:div w:id="598953606">
      <w:bodyDiv w:val="1"/>
      <w:marLeft w:val="0"/>
      <w:marRight w:val="0"/>
      <w:marTop w:val="0"/>
      <w:marBottom w:val="0"/>
      <w:divBdr>
        <w:top w:val="none" w:sz="0" w:space="0" w:color="auto"/>
        <w:left w:val="none" w:sz="0" w:space="0" w:color="auto"/>
        <w:bottom w:val="none" w:sz="0" w:space="0" w:color="auto"/>
        <w:right w:val="none" w:sz="0" w:space="0" w:color="auto"/>
      </w:divBdr>
    </w:div>
    <w:div w:id="621964764">
      <w:bodyDiv w:val="1"/>
      <w:marLeft w:val="0"/>
      <w:marRight w:val="0"/>
      <w:marTop w:val="0"/>
      <w:marBottom w:val="0"/>
      <w:divBdr>
        <w:top w:val="none" w:sz="0" w:space="0" w:color="auto"/>
        <w:left w:val="none" w:sz="0" w:space="0" w:color="auto"/>
        <w:bottom w:val="none" w:sz="0" w:space="0" w:color="auto"/>
        <w:right w:val="none" w:sz="0" w:space="0" w:color="auto"/>
      </w:divBdr>
    </w:div>
    <w:div w:id="631402980">
      <w:bodyDiv w:val="1"/>
      <w:marLeft w:val="0"/>
      <w:marRight w:val="0"/>
      <w:marTop w:val="0"/>
      <w:marBottom w:val="0"/>
      <w:divBdr>
        <w:top w:val="none" w:sz="0" w:space="0" w:color="auto"/>
        <w:left w:val="none" w:sz="0" w:space="0" w:color="auto"/>
        <w:bottom w:val="none" w:sz="0" w:space="0" w:color="auto"/>
        <w:right w:val="none" w:sz="0" w:space="0" w:color="auto"/>
      </w:divBdr>
    </w:div>
    <w:div w:id="650334549">
      <w:bodyDiv w:val="1"/>
      <w:marLeft w:val="0"/>
      <w:marRight w:val="0"/>
      <w:marTop w:val="0"/>
      <w:marBottom w:val="0"/>
      <w:divBdr>
        <w:top w:val="none" w:sz="0" w:space="0" w:color="auto"/>
        <w:left w:val="none" w:sz="0" w:space="0" w:color="auto"/>
        <w:bottom w:val="none" w:sz="0" w:space="0" w:color="auto"/>
        <w:right w:val="none" w:sz="0" w:space="0" w:color="auto"/>
      </w:divBdr>
    </w:div>
    <w:div w:id="657658992">
      <w:bodyDiv w:val="1"/>
      <w:marLeft w:val="0"/>
      <w:marRight w:val="0"/>
      <w:marTop w:val="0"/>
      <w:marBottom w:val="0"/>
      <w:divBdr>
        <w:top w:val="none" w:sz="0" w:space="0" w:color="auto"/>
        <w:left w:val="none" w:sz="0" w:space="0" w:color="auto"/>
        <w:bottom w:val="none" w:sz="0" w:space="0" w:color="auto"/>
        <w:right w:val="none" w:sz="0" w:space="0" w:color="auto"/>
      </w:divBdr>
    </w:div>
    <w:div w:id="707148240">
      <w:bodyDiv w:val="1"/>
      <w:marLeft w:val="0"/>
      <w:marRight w:val="0"/>
      <w:marTop w:val="0"/>
      <w:marBottom w:val="0"/>
      <w:divBdr>
        <w:top w:val="none" w:sz="0" w:space="0" w:color="auto"/>
        <w:left w:val="none" w:sz="0" w:space="0" w:color="auto"/>
        <w:bottom w:val="none" w:sz="0" w:space="0" w:color="auto"/>
        <w:right w:val="none" w:sz="0" w:space="0" w:color="auto"/>
      </w:divBdr>
    </w:div>
    <w:div w:id="726611909">
      <w:bodyDiv w:val="1"/>
      <w:marLeft w:val="0"/>
      <w:marRight w:val="0"/>
      <w:marTop w:val="0"/>
      <w:marBottom w:val="0"/>
      <w:divBdr>
        <w:top w:val="none" w:sz="0" w:space="0" w:color="auto"/>
        <w:left w:val="none" w:sz="0" w:space="0" w:color="auto"/>
        <w:bottom w:val="none" w:sz="0" w:space="0" w:color="auto"/>
        <w:right w:val="none" w:sz="0" w:space="0" w:color="auto"/>
      </w:divBdr>
    </w:div>
    <w:div w:id="732580771">
      <w:bodyDiv w:val="1"/>
      <w:marLeft w:val="0"/>
      <w:marRight w:val="0"/>
      <w:marTop w:val="0"/>
      <w:marBottom w:val="0"/>
      <w:divBdr>
        <w:top w:val="none" w:sz="0" w:space="0" w:color="auto"/>
        <w:left w:val="none" w:sz="0" w:space="0" w:color="auto"/>
        <w:bottom w:val="none" w:sz="0" w:space="0" w:color="auto"/>
        <w:right w:val="none" w:sz="0" w:space="0" w:color="auto"/>
      </w:divBdr>
    </w:div>
    <w:div w:id="758671914">
      <w:bodyDiv w:val="1"/>
      <w:marLeft w:val="0"/>
      <w:marRight w:val="0"/>
      <w:marTop w:val="0"/>
      <w:marBottom w:val="0"/>
      <w:divBdr>
        <w:top w:val="none" w:sz="0" w:space="0" w:color="auto"/>
        <w:left w:val="none" w:sz="0" w:space="0" w:color="auto"/>
        <w:bottom w:val="none" w:sz="0" w:space="0" w:color="auto"/>
        <w:right w:val="none" w:sz="0" w:space="0" w:color="auto"/>
      </w:divBdr>
    </w:div>
    <w:div w:id="813370053">
      <w:bodyDiv w:val="1"/>
      <w:marLeft w:val="0"/>
      <w:marRight w:val="0"/>
      <w:marTop w:val="0"/>
      <w:marBottom w:val="0"/>
      <w:divBdr>
        <w:top w:val="none" w:sz="0" w:space="0" w:color="auto"/>
        <w:left w:val="none" w:sz="0" w:space="0" w:color="auto"/>
        <w:bottom w:val="none" w:sz="0" w:space="0" w:color="auto"/>
        <w:right w:val="none" w:sz="0" w:space="0" w:color="auto"/>
      </w:divBdr>
    </w:div>
    <w:div w:id="821315994">
      <w:bodyDiv w:val="1"/>
      <w:marLeft w:val="0"/>
      <w:marRight w:val="0"/>
      <w:marTop w:val="0"/>
      <w:marBottom w:val="0"/>
      <w:divBdr>
        <w:top w:val="none" w:sz="0" w:space="0" w:color="auto"/>
        <w:left w:val="none" w:sz="0" w:space="0" w:color="auto"/>
        <w:bottom w:val="none" w:sz="0" w:space="0" w:color="auto"/>
        <w:right w:val="none" w:sz="0" w:space="0" w:color="auto"/>
      </w:divBdr>
    </w:div>
    <w:div w:id="822938595">
      <w:bodyDiv w:val="1"/>
      <w:marLeft w:val="0"/>
      <w:marRight w:val="0"/>
      <w:marTop w:val="0"/>
      <w:marBottom w:val="0"/>
      <w:divBdr>
        <w:top w:val="none" w:sz="0" w:space="0" w:color="auto"/>
        <w:left w:val="none" w:sz="0" w:space="0" w:color="auto"/>
        <w:bottom w:val="none" w:sz="0" w:space="0" w:color="auto"/>
        <w:right w:val="none" w:sz="0" w:space="0" w:color="auto"/>
      </w:divBdr>
    </w:div>
    <w:div w:id="831216710">
      <w:bodyDiv w:val="1"/>
      <w:marLeft w:val="0"/>
      <w:marRight w:val="0"/>
      <w:marTop w:val="0"/>
      <w:marBottom w:val="0"/>
      <w:divBdr>
        <w:top w:val="none" w:sz="0" w:space="0" w:color="auto"/>
        <w:left w:val="none" w:sz="0" w:space="0" w:color="auto"/>
        <w:bottom w:val="none" w:sz="0" w:space="0" w:color="auto"/>
        <w:right w:val="none" w:sz="0" w:space="0" w:color="auto"/>
      </w:divBdr>
    </w:div>
    <w:div w:id="839002822">
      <w:bodyDiv w:val="1"/>
      <w:marLeft w:val="0"/>
      <w:marRight w:val="0"/>
      <w:marTop w:val="0"/>
      <w:marBottom w:val="0"/>
      <w:divBdr>
        <w:top w:val="none" w:sz="0" w:space="0" w:color="auto"/>
        <w:left w:val="none" w:sz="0" w:space="0" w:color="auto"/>
        <w:bottom w:val="none" w:sz="0" w:space="0" w:color="auto"/>
        <w:right w:val="none" w:sz="0" w:space="0" w:color="auto"/>
      </w:divBdr>
    </w:div>
    <w:div w:id="841161375">
      <w:bodyDiv w:val="1"/>
      <w:marLeft w:val="0"/>
      <w:marRight w:val="0"/>
      <w:marTop w:val="0"/>
      <w:marBottom w:val="0"/>
      <w:divBdr>
        <w:top w:val="none" w:sz="0" w:space="0" w:color="auto"/>
        <w:left w:val="none" w:sz="0" w:space="0" w:color="auto"/>
        <w:bottom w:val="none" w:sz="0" w:space="0" w:color="auto"/>
        <w:right w:val="none" w:sz="0" w:space="0" w:color="auto"/>
      </w:divBdr>
    </w:div>
    <w:div w:id="858661143">
      <w:bodyDiv w:val="1"/>
      <w:marLeft w:val="0"/>
      <w:marRight w:val="0"/>
      <w:marTop w:val="0"/>
      <w:marBottom w:val="0"/>
      <w:divBdr>
        <w:top w:val="none" w:sz="0" w:space="0" w:color="auto"/>
        <w:left w:val="none" w:sz="0" w:space="0" w:color="auto"/>
        <w:bottom w:val="none" w:sz="0" w:space="0" w:color="auto"/>
        <w:right w:val="none" w:sz="0" w:space="0" w:color="auto"/>
      </w:divBdr>
    </w:div>
    <w:div w:id="859391388">
      <w:bodyDiv w:val="1"/>
      <w:marLeft w:val="0"/>
      <w:marRight w:val="0"/>
      <w:marTop w:val="0"/>
      <w:marBottom w:val="0"/>
      <w:divBdr>
        <w:top w:val="none" w:sz="0" w:space="0" w:color="auto"/>
        <w:left w:val="none" w:sz="0" w:space="0" w:color="auto"/>
        <w:bottom w:val="none" w:sz="0" w:space="0" w:color="auto"/>
        <w:right w:val="none" w:sz="0" w:space="0" w:color="auto"/>
      </w:divBdr>
    </w:div>
    <w:div w:id="870336278">
      <w:bodyDiv w:val="1"/>
      <w:marLeft w:val="0"/>
      <w:marRight w:val="0"/>
      <w:marTop w:val="0"/>
      <w:marBottom w:val="0"/>
      <w:divBdr>
        <w:top w:val="none" w:sz="0" w:space="0" w:color="auto"/>
        <w:left w:val="none" w:sz="0" w:space="0" w:color="auto"/>
        <w:bottom w:val="none" w:sz="0" w:space="0" w:color="auto"/>
        <w:right w:val="none" w:sz="0" w:space="0" w:color="auto"/>
      </w:divBdr>
    </w:div>
    <w:div w:id="884834080">
      <w:bodyDiv w:val="1"/>
      <w:marLeft w:val="0"/>
      <w:marRight w:val="0"/>
      <w:marTop w:val="0"/>
      <w:marBottom w:val="0"/>
      <w:divBdr>
        <w:top w:val="none" w:sz="0" w:space="0" w:color="auto"/>
        <w:left w:val="none" w:sz="0" w:space="0" w:color="auto"/>
        <w:bottom w:val="none" w:sz="0" w:space="0" w:color="auto"/>
        <w:right w:val="none" w:sz="0" w:space="0" w:color="auto"/>
      </w:divBdr>
    </w:div>
    <w:div w:id="985084715">
      <w:bodyDiv w:val="1"/>
      <w:marLeft w:val="0"/>
      <w:marRight w:val="0"/>
      <w:marTop w:val="0"/>
      <w:marBottom w:val="0"/>
      <w:divBdr>
        <w:top w:val="none" w:sz="0" w:space="0" w:color="auto"/>
        <w:left w:val="none" w:sz="0" w:space="0" w:color="auto"/>
        <w:bottom w:val="none" w:sz="0" w:space="0" w:color="auto"/>
        <w:right w:val="none" w:sz="0" w:space="0" w:color="auto"/>
      </w:divBdr>
    </w:div>
    <w:div w:id="1011689031">
      <w:bodyDiv w:val="1"/>
      <w:marLeft w:val="0"/>
      <w:marRight w:val="0"/>
      <w:marTop w:val="0"/>
      <w:marBottom w:val="0"/>
      <w:divBdr>
        <w:top w:val="none" w:sz="0" w:space="0" w:color="auto"/>
        <w:left w:val="none" w:sz="0" w:space="0" w:color="auto"/>
        <w:bottom w:val="none" w:sz="0" w:space="0" w:color="auto"/>
        <w:right w:val="none" w:sz="0" w:space="0" w:color="auto"/>
      </w:divBdr>
    </w:div>
    <w:div w:id="1077676751">
      <w:bodyDiv w:val="1"/>
      <w:marLeft w:val="0"/>
      <w:marRight w:val="0"/>
      <w:marTop w:val="0"/>
      <w:marBottom w:val="0"/>
      <w:divBdr>
        <w:top w:val="none" w:sz="0" w:space="0" w:color="auto"/>
        <w:left w:val="none" w:sz="0" w:space="0" w:color="auto"/>
        <w:bottom w:val="none" w:sz="0" w:space="0" w:color="auto"/>
        <w:right w:val="none" w:sz="0" w:space="0" w:color="auto"/>
      </w:divBdr>
    </w:div>
    <w:div w:id="1079137666">
      <w:bodyDiv w:val="1"/>
      <w:marLeft w:val="0"/>
      <w:marRight w:val="0"/>
      <w:marTop w:val="0"/>
      <w:marBottom w:val="0"/>
      <w:divBdr>
        <w:top w:val="none" w:sz="0" w:space="0" w:color="auto"/>
        <w:left w:val="none" w:sz="0" w:space="0" w:color="auto"/>
        <w:bottom w:val="none" w:sz="0" w:space="0" w:color="auto"/>
        <w:right w:val="none" w:sz="0" w:space="0" w:color="auto"/>
      </w:divBdr>
    </w:div>
    <w:div w:id="1087308798">
      <w:bodyDiv w:val="1"/>
      <w:marLeft w:val="0"/>
      <w:marRight w:val="0"/>
      <w:marTop w:val="0"/>
      <w:marBottom w:val="0"/>
      <w:divBdr>
        <w:top w:val="none" w:sz="0" w:space="0" w:color="auto"/>
        <w:left w:val="none" w:sz="0" w:space="0" w:color="auto"/>
        <w:bottom w:val="none" w:sz="0" w:space="0" w:color="auto"/>
        <w:right w:val="none" w:sz="0" w:space="0" w:color="auto"/>
      </w:divBdr>
    </w:div>
    <w:div w:id="1087463846">
      <w:bodyDiv w:val="1"/>
      <w:marLeft w:val="0"/>
      <w:marRight w:val="0"/>
      <w:marTop w:val="0"/>
      <w:marBottom w:val="0"/>
      <w:divBdr>
        <w:top w:val="none" w:sz="0" w:space="0" w:color="auto"/>
        <w:left w:val="none" w:sz="0" w:space="0" w:color="auto"/>
        <w:bottom w:val="none" w:sz="0" w:space="0" w:color="auto"/>
        <w:right w:val="none" w:sz="0" w:space="0" w:color="auto"/>
      </w:divBdr>
    </w:div>
    <w:div w:id="1112944602">
      <w:bodyDiv w:val="1"/>
      <w:marLeft w:val="0"/>
      <w:marRight w:val="0"/>
      <w:marTop w:val="0"/>
      <w:marBottom w:val="0"/>
      <w:divBdr>
        <w:top w:val="none" w:sz="0" w:space="0" w:color="auto"/>
        <w:left w:val="none" w:sz="0" w:space="0" w:color="auto"/>
        <w:bottom w:val="none" w:sz="0" w:space="0" w:color="auto"/>
        <w:right w:val="none" w:sz="0" w:space="0" w:color="auto"/>
      </w:divBdr>
    </w:div>
    <w:div w:id="1119448973">
      <w:bodyDiv w:val="1"/>
      <w:marLeft w:val="0"/>
      <w:marRight w:val="0"/>
      <w:marTop w:val="0"/>
      <w:marBottom w:val="0"/>
      <w:divBdr>
        <w:top w:val="none" w:sz="0" w:space="0" w:color="auto"/>
        <w:left w:val="none" w:sz="0" w:space="0" w:color="auto"/>
        <w:bottom w:val="none" w:sz="0" w:space="0" w:color="auto"/>
        <w:right w:val="none" w:sz="0" w:space="0" w:color="auto"/>
      </w:divBdr>
    </w:div>
    <w:div w:id="1136025209">
      <w:bodyDiv w:val="1"/>
      <w:marLeft w:val="0"/>
      <w:marRight w:val="0"/>
      <w:marTop w:val="0"/>
      <w:marBottom w:val="0"/>
      <w:divBdr>
        <w:top w:val="none" w:sz="0" w:space="0" w:color="auto"/>
        <w:left w:val="none" w:sz="0" w:space="0" w:color="auto"/>
        <w:bottom w:val="none" w:sz="0" w:space="0" w:color="auto"/>
        <w:right w:val="none" w:sz="0" w:space="0" w:color="auto"/>
      </w:divBdr>
    </w:div>
    <w:div w:id="1145076903">
      <w:bodyDiv w:val="1"/>
      <w:marLeft w:val="0"/>
      <w:marRight w:val="0"/>
      <w:marTop w:val="0"/>
      <w:marBottom w:val="0"/>
      <w:divBdr>
        <w:top w:val="none" w:sz="0" w:space="0" w:color="auto"/>
        <w:left w:val="none" w:sz="0" w:space="0" w:color="auto"/>
        <w:bottom w:val="none" w:sz="0" w:space="0" w:color="auto"/>
        <w:right w:val="none" w:sz="0" w:space="0" w:color="auto"/>
      </w:divBdr>
    </w:div>
    <w:div w:id="1201287285">
      <w:bodyDiv w:val="1"/>
      <w:marLeft w:val="0"/>
      <w:marRight w:val="0"/>
      <w:marTop w:val="0"/>
      <w:marBottom w:val="0"/>
      <w:divBdr>
        <w:top w:val="none" w:sz="0" w:space="0" w:color="auto"/>
        <w:left w:val="none" w:sz="0" w:space="0" w:color="auto"/>
        <w:bottom w:val="none" w:sz="0" w:space="0" w:color="auto"/>
        <w:right w:val="none" w:sz="0" w:space="0" w:color="auto"/>
      </w:divBdr>
    </w:div>
    <w:div w:id="1207838867">
      <w:bodyDiv w:val="1"/>
      <w:marLeft w:val="0"/>
      <w:marRight w:val="0"/>
      <w:marTop w:val="0"/>
      <w:marBottom w:val="0"/>
      <w:divBdr>
        <w:top w:val="none" w:sz="0" w:space="0" w:color="auto"/>
        <w:left w:val="none" w:sz="0" w:space="0" w:color="auto"/>
        <w:bottom w:val="none" w:sz="0" w:space="0" w:color="auto"/>
        <w:right w:val="none" w:sz="0" w:space="0" w:color="auto"/>
      </w:divBdr>
    </w:div>
    <w:div w:id="1212381276">
      <w:bodyDiv w:val="1"/>
      <w:marLeft w:val="0"/>
      <w:marRight w:val="0"/>
      <w:marTop w:val="0"/>
      <w:marBottom w:val="0"/>
      <w:divBdr>
        <w:top w:val="none" w:sz="0" w:space="0" w:color="auto"/>
        <w:left w:val="none" w:sz="0" w:space="0" w:color="auto"/>
        <w:bottom w:val="none" w:sz="0" w:space="0" w:color="auto"/>
        <w:right w:val="none" w:sz="0" w:space="0" w:color="auto"/>
      </w:divBdr>
    </w:div>
    <w:div w:id="1215237775">
      <w:bodyDiv w:val="1"/>
      <w:marLeft w:val="0"/>
      <w:marRight w:val="0"/>
      <w:marTop w:val="0"/>
      <w:marBottom w:val="0"/>
      <w:divBdr>
        <w:top w:val="none" w:sz="0" w:space="0" w:color="auto"/>
        <w:left w:val="none" w:sz="0" w:space="0" w:color="auto"/>
        <w:bottom w:val="none" w:sz="0" w:space="0" w:color="auto"/>
        <w:right w:val="none" w:sz="0" w:space="0" w:color="auto"/>
      </w:divBdr>
    </w:div>
    <w:div w:id="1245145968">
      <w:bodyDiv w:val="1"/>
      <w:marLeft w:val="0"/>
      <w:marRight w:val="0"/>
      <w:marTop w:val="0"/>
      <w:marBottom w:val="0"/>
      <w:divBdr>
        <w:top w:val="none" w:sz="0" w:space="0" w:color="auto"/>
        <w:left w:val="none" w:sz="0" w:space="0" w:color="auto"/>
        <w:bottom w:val="none" w:sz="0" w:space="0" w:color="auto"/>
        <w:right w:val="none" w:sz="0" w:space="0" w:color="auto"/>
      </w:divBdr>
    </w:div>
    <w:div w:id="1258949352">
      <w:bodyDiv w:val="1"/>
      <w:marLeft w:val="0"/>
      <w:marRight w:val="0"/>
      <w:marTop w:val="0"/>
      <w:marBottom w:val="0"/>
      <w:divBdr>
        <w:top w:val="none" w:sz="0" w:space="0" w:color="auto"/>
        <w:left w:val="none" w:sz="0" w:space="0" w:color="auto"/>
        <w:bottom w:val="none" w:sz="0" w:space="0" w:color="auto"/>
        <w:right w:val="none" w:sz="0" w:space="0" w:color="auto"/>
      </w:divBdr>
    </w:div>
    <w:div w:id="1279800326">
      <w:bodyDiv w:val="1"/>
      <w:marLeft w:val="0"/>
      <w:marRight w:val="0"/>
      <w:marTop w:val="0"/>
      <w:marBottom w:val="0"/>
      <w:divBdr>
        <w:top w:val="none" w:sz="0" w:space="0" w:color="auto"/>
        <w:left w:val="none" w:sz="0" w:space="0" w:color="auto"/>
        <w:bottom w:val="none" w:sz="0" w:space="0" w:color="auto"/>
        <w:right w:val="none" w:sz="0" w:space="0" w:color="auto"/>
      </w:divBdr>
      <w:divsChild>
        <w:div w:id="18286161">
          <w:marLeft w:val="0"/>
          <w:marRight w:val="0"/>
          <w:marTop w:val="0"/>
          <w:marBottom w:val="0"/>
          <w:divBdr>
            <w:top w:val="none" w:sz="0" w:space="0" w:color="auto"/>
            <w:left w:val="none" w:sz="0" w:space="0" w:color="auto"/>
            <w:bottom w:val="none" w:sz="0" w:space="0" w:color="auto"/>
            <w:right w:val="none" w:sz="0" w:space="0" w:color="auto"/>
          </w:divBdr>
          <w:divsChild>
            <w:div w:id="254948551">
              <w:marLeft w:val="0"/>
              <w:marRight w:val="0"/>
              <w:marTop w:val="0"/>
              <w:marBottom w:val="0"/>
              <w:divBdr>
                <w:top w:val="none" w:sz="0" w:space="0" w:color="auto"/>
                <w:left w:val="none" w:sz="0" w:space="0" w:color="auto"/>
                <w:bottom w:val="none" w:sz="0" w:space="0" w:color="auto"/>
                <w:right w:val="none" w:sz="0" w:space="0" w:color="auto"/>
              </w:divBdr>
            </w:div>
            <w:div w:id="452940478">
              <w:marLeft w:val="0"/>
              <w:marRight w:val="0"/>
              <w:marTop w:val="0"/>
              <w:marBottom w:val="0"/>
              <w:divBdr>
                <w:top w:val="none" w:sz="0" w:space="0" w:color="auto"/>
                <w:left w:val="none" w:sz="0" w:space="0" w:color="auto"/>
                <w:bottom w:val="none" w:sz="0" w:space="0" w:color="auto"/>
                <w:right w:val="none" w:sz="0" w:space="0" w:color="auto"/>
              </w:divBdr>
            </w:div>
            <w:div w:id="499809440">
              <w:marLeft w:val="0"/>
              <w:marRight w:val="0"/>
              <w:marTop w:val="0"/>
              <w:marBottom w:val="0"/>
              <w:divBdr>
                <w:top w:val="none" w:sz="0" w:space="0" w:color="auto"/>
                <w:left w:val="none" w:sz="0" w:space="0" w:color="auto"/>
                <w:bottom w:val="none" w:sz="0" w:space="0" w:color="auto"/>
                <w:right w:val="none" w:sz="0" w:space="0" w:color="auto"/>
              </w:divBdr>
            </w:div>
            <w:div w:id="785318701">
              <w:marLeft w:val="0"/>
              <w:marRight w:val="0"/>
              <w:marTop w:val="0"/>
              <w:marBottom w:val="0"/>
              <w:divBdr>
                <w:top w:val="none" w:sz="0" w:space="0" w:color="auto"/>
                <w:left w:val="none" w:sz="0" w:space="0" w:color="auto"/>
                <w:bottom w:val="none" w:sz="0" w:space="0" w:color="auto"/>
                <w:right w:val="none" w:sz="0" w:space="0" w:color="auto"/>
              </w:divBdr>
            </w:div>
            <w:div w:id="832183046">
              <w:marLeft w:val="0"/>
              <w:marRight w:val="0"/>
              <w:marTop w:val="0"/>
              <w:marBottom w:val="0"/>
              <w:divBdr>
                <w:top w:val="none" w:sz="0" w:space="0" w:color="auto"/>
                <w:left w:val="none" w:sz="0" w:space="0" w:color="auto"/>
                <w:bottom w:val="none" w:sz="0" w:space="0" w:color="auto"/>
                <w:right w:val="none" w:sz="0" w:space="0" w:color="auto"/>
              </w:divBdr>
            </w:div>
            <w:div w:id="899706418">
              <w:marLeft w:val="0"/>
              <w:marRight w:val="0"/>
              <w:marTop w:val="0"/>
              <w:marBottom w:val="0"/>
              <w:divBdr>
                <w:top w:val="none" w:sz="0" w:space="0" w:color="auto"/>
                <w:left w:val="none" w:sz="0" w:space="0" w:color="auto"/>
                <w:bottom w:val="none" w:sz="0" w:space="0" w:color="auto"/>
                <w:right w:val="none" w:sz="0" w:space="0" w:color="auto"/>
              </w:divBdr>
            </w:div>
            <w:div w:id="939751874">
              <w:marLeft w:val="0"/>
              <w:marRight w:val="0"/>
              <w:marTop w:val="0"/>
              <w:marBottom w:val="0"/>
              <w:divBdr>
                <w:top w:val="none" w:sz="0" w:space="0" w:color="auto"/>
                <w:left w:val="none" w:sz="0" w:space="0" w:color="auto"/>
                <w:bottom w:val="none" w:sz="0" w:space="0" w:color="auto"/>
                <w:right w:val="none" w:sz="0" w:space="0" w:color="auto"/>
              </w:divBdr>
            </w:div>
            <w:div w:id="1032803935">
              <w:marLeft w:val="0"/>
              <w:marRight w:val="0"/>
              <w:marTop w:val="0"/>
              <w:marBottom w:val="0"/>
              <w:divBdr>
                <w:top w:val="none" w:sz="0" w:space="0" w:color="auto"/>
                <w:left w:val="none" w:sz="0" w:space="0" w:color="auto"/>
                <w:bottom w:val="none" w:sz="0" w:space="0" w:color="auto"/>
                <w:right w:val="none" w:sz="0" w:space="0" w:color="auto"/>
              </w:divBdr>
            </w:div>
            <w:div w:id="1124497794">
              <w:marLeft w:val="0"/>
              <w:marRight w:val="0"/>
              <w:marTop w:val="0"/>
              <w:marBottom w:val="0"/>
              <w:divBdr>
                <w:top w:val="none" w:sz="0" w:space="0" w:color="auto"/>
                <w:left w:val="none" w:sz="0" w:space="0" w:color="auto"/>
                <w:bottom w:val="none" w:sz="0" w:space="0" w:color="auto"/>
                <w:right w:val="none" w:sz="0" w:space="0" w:color="auto"/>
              </w:divBdr>
            </w:div>
            <w:div w:id="1172139234">
              <w:marLeft w:val="0"/>
              <w:marRight w:val="0"/>
              <w:marTop w:val="0"/>
              <w:marBottom w:val="0"/>
              <w:divBdr>
                <w:top w:val="none" w:sz="0" w:space="0" w:color="auto"/>
                <w:left w:val="none" w:sz="0" w:space="0" w:color="auto"/>
                <w:bottom w:val="none" w:sz="0" w:space="0" w:color="auto"/>
                <w:right w:val="none" w:sz="0" w:space="0" w:color="auto"/>
              </w:divBdr>
            </w:div>
            <w:div w:id="1205482526">
              <w:marLeft w:val="0"/>
              <w:marRight w:val="0"/>
              <w:marTop w:val="0"/>
              <w:marBottom w:val="0"/>
              <w:divBdr>
                <w:top w:val="none" w:sz="0" w:space="0" w:color="auto"/>
                <w:left w:val="none" w:sz="0" w:space="0" w:color="auto"/>
                <w:bottom w:val="none" w:sz="0" w:space="0" w:color="auto"/>
                <w:right w:val="none" w:sz="0" w:space="0" w:color="auto"/>
              </w:divBdr>
            </w:div>
            <w:div w:id="1241209082">
              <w:marLeft w:val="0"/>
              <w:marRight w:val="0"/>
              <w:marTop w:val="0"/>
              <w:marBottom w:val="0"/>
              <w:divBdr>
                <w:top w:val="none" w:sz="0" w:space="0" w:color="auto"/>
                <w:left w:val="none" w:sz="0" w:space="0" w:color="auto"/>
                <w:bottom w:val="none" w:sz="0" w:space="0" w:color="auto"/>
                <w:right w:val="none" w:sz="0" w:space="0" w:color="auto"/>
              </w:divBdr>
            </w:div>
            <w:div w:id="1438669787">
              <w:marLeft w:val="0"/>
              <w:marRight w:val="0"/>
              <w:marTop w:val="0"/>
              <w:marBottom w:val="0"/>
              <w:divBdr>
                <w:top w:val="none" w:sz="0" w:space="0" w:color="auto"/>
                <w:left w:val="none" w:sz="0" w:space="0" w:color="auto"/>
                <w:bottom w:val="none" w:sz="0" w:space="0" w:color="auto"/>
                <w:right w:val="none" w:sz="0" w:space="0" w:color="auto"/>
              </w:divBdr>
            </w:div>
            <w:div w:id="1454252334">
              <w:marLeft w:val="0"/>
              <w:marRight w:val="0"/>
              <w:marTop w:val="0"/>
              <w:marBottom w:val="0"/>
              <w:divBdr>
                <w:top w:val="none" w:sz="0" w:space="0" w:color="auto"/>
                <w:left w:val="none" w:sz="0" w:space="0" w:color="auto"/>
                <w:bottom w:val="none" w:sz="0" w:space="0" w:color="auto"/>
                <w:right w:val="none" w:sz="0" w:space="0" w:color="auto"/>
              </w:divBdr>
            </w:div>
            <w:div w:id="1677268011">
              <w:marLeft w:val="0"/>
              <w:marRight w:val="0"/>
              <w:marTop w:val="0"/>
              <w:marBottom w:val="0"/>
              <w:divBdr>
                <w:top w:val="none" w:sz="0" w:space="0" w:color="auto"/>
                <w:left w:val="none" w:sz="0" w:space="0" w:color="auto"/>
                <w:bottom w:val="none" w:sz="0" w:space="0" w:color="auto"/>
                <w:right w:val="none" w:sz="0" w:space="0" w:color="auto"/>
              </w:divBdr>
            </w:div>
            <w:div w:id="1745562398">
              <w:marLeft w:val="0"/>
              <w:marRight w:val="0"/>
              <w:marTop w:val="0"/>
              <w:marBottom w:val="0"/>
              <w:divBdr>
                <w:top w:val="none" w:sz="0" w:space="0" w:color="auto"/>
                <w:left w:val="none" w:sz="0" w:space="0" w:color="auto"/>
                <w:bottom w:val="none" w:sz="0" w:space="0" w:color="auto"/>
                <w:right w:val="none" w:sz="0" w:space="0" w:color="auto"/>
              </w:divBdr>
            </w:div>
            <w:div w:id="1880361913">
              <w:marLeft w:val="0"/>
              <w:marRight w:val="0"/>
              <w:marTop w:val="0"/>
              <w:marBottom w:val="0"/>
              <w:divBdr>
                <w:top w:val="none" w:sz="0" w:space="0" w:color="auto"/>
                <w:left w:val="none" w:sz="0" w:space="0" w:color="auto"/>
                <w:bottom w:val="none" w:sz="0" w:space="0" w:color="auto"/>
                <w:right w:val="none" w:sz="0" w:space="0" w:color="auto"/>
              </w:divBdr>
            </w:div>
            <w:div w:id="2140995778">
              <w:marLeft w:val="0"/>
              <w:marRight w:val="0"/>
              <w:marTop w:val="0"/>
              <w:marBottom w:val="0"/>
              <w:divBdr>
                <w:top w:val="none" w:sz="0" w:space="0" w:color="auto"/>
                <w:left w:val="none" w:sz="0" w:space="0" w:color="auto"/>
                <w:bottom w:val="none" w:sz="0" w:space="0" w:color="auto"/>
                <w:right w:val="none" w:sz="0" w:space="0" w:color="auto"/>
              </w:divBdr>
            </w:div>
          </w:divsChild>
        </w:div>
        <w:div w:id="805008364">
          <w:marLeft w:val="0"/>
          <w:marRight w:val="0"/>
          <w:marTop w:val="0"/>
          <w:marBottom w:val="0"/>
          <w:divBdr>
            <w:top w:val="none" w:sz="0" w:space="0" w:color="auto"/>
            <w:left w:val="none" w:sz="0" w:space="0" w:color="auto"/>
            <w:bottom w:val="none" w:sz="0" w:space="0" w:color="auto"/>
            <w:right w:val="none" w:sz="0" w:space="0" w:color="auto"/>
          </w:divBdr>
        </w:div>
        <w:div w:id="1000355995">
          <w:marLeft w:val="0"/>
          <w:marRight w:val="0"/>
          <w:marTop w:val="0"/>
          <w:marBottom w:val="0"/>
          <w:divBdr>
            <w:top w:val="none" w:sz="0" w:space="0" w:color="auto"/>
            <w:left w:val="none" w:sz="0" w:space="0" w:color="auto"/>
            <w:bottom w:val="none" w:sz="0" w:space="0" w:color="auto"/>
            <w:right w:val="none" w:sz="0" w:space="0" w:color="auto"/>
          </w:divBdr>
          <w:divsChild>
            <w:div w:id="57242101">
              <w:marLeft w:val="0"/>
              <w:marRight w:val="0"/>
              <w:marTop w:val="0"/>
              <w:marBottom w:val="0"/>
              <w:divBdr>
                <w:top w:val="none" w:sz="0" w:space="0" w:color="auto"/>
                <w:left w:val="none" w:sz="0" w:space="0" w:color="auto"/>
                <w:bottom w:val="none" w:sz="0" w:space="0" w:color="auto"/>
                <w:right w:val="none" w:sz="0" w:space="0" w:color="auto"/>
              </w:divBdr>
            </w:div>
            <w:div w:id="332298476">
              <w:marLeft w:val="0"/>
              <w:marRight w:val="0"/>
              <w:marTop w:val="0"/>
              <w:marBottom w:val="0"/>
              <w:divBdr>
                <w:top w:val="none" w:sz="0" w:space="0" w:color="auto"/>
                <w:left w:val="none" w:sz="0" w:space="0" w:color="auto"/>
                <w:bottom w:val="none" w:sz="0" w:space="0" w:color="auto"/>
                <w:right w:val="none" w:sz="0" w:space="0" w:color="auto"/>
              </w:divBdr>
            </w:div>
            <w:div w:id="403381994">
              <w:marLeft w:val="0"/>
              <w:marRight w:val="0"/>
              <w:marTop w:val="0"/>
              <w:marBottom w:val="0"/>
              <w:divBdr>
                <w:top w:val="none" w:sz="0" w:space="0" w:color="auto"/>
                <w:left w:val="none" w:sz="0" w:space="0" w:color="auto"/>
                <w:bottom w:val="none" w:sz="0" w:space="0" w:color="auto"/>
                <w:right w:val="none" w:sz="0" w:space="0" w:color="auto"/>
              </w:divBdr>
            </w:div>
            <w:div w:id="418647177">
              <w:marLeft w:val="0"/>
              <w:marRight w:val="0"/>
              <w:marTop w:val="0"/>
              <w:marBottom w:val="0"/>
              <w:divBdr>
                <w:top w:val="none" w:sz="0" w:space="0" w:color="auto"/>
                <w:left w:val="none" w:sz="0" w:space="0" w:color="auto"/>
                <w:bottom w:val="none" w:sz="0" w:space="0" w:color="auto"/>
                <w:right w:val="none" w:sz="0" w:space="0" w:color="auto"/>
              </w:divBdr>
            </w:div>
            <w:div w:id="447506870">
              <w:marLeft w:val="0"/>
              <w:marRight w:val="0"/>
              <w:marTop w:val="0"/>
              <w:marBottom w:val="0"/>
              <w:divBdr>
                <w:top w:val="none" w:sz="0" w:space="0" w:color="auto"/>
                <w:left w:val="none" w:sz="0" w:space="0" w:color="auto"/>
                <w:bottom w:val="none" w:sz="0" w:space="0" w:color="auto"/>
                <w:right w:val="none" w:sz="0" w:space="0" w:color="auto"/>
              </w:divBdr>
            </w:div>
            <w:div w:id="456409361">
              <w:marLeft w:val="0"/>
              <w:marRight w:val="0"/>
              <w:marTop w:val="0"/>
              <w:marBottom w:val="0"/>
              <w:divBdr>
                <w:top w:val="none" w:sz="0" w:space="0" w:color="auto"/>
                <w:left w:val="none" w:sz="0" w:space="0" w:color="auto"/>
                <w:bottom w:val="none" w:sz="0" w:space="0" w:color="auto"/>
                <w:right w:val="none" w:sz="0" w:space="0" w:color="auto"/>
              </w:divBdr>
            </w:div>
            <w:div w:id="465390402">
              <w:marLeft w:val="0"/>
              <w:marRight w:val="0"/>
              <w:marTop w:val="0"/>
              <w:marBottom w:val="0"/>
              <w:divBdr>
                <w:top w:val="none" w:sz="0" w:space="0" w:color="auto"/>
                <w:left w:val="none" w:sz="0" w:space="0" w:color="auto"/>
                <w:bottom w:val="none" w:sz="0" w:space="0" w:color="auto"/>
                <w:right w:val="none" w:sz="0" w:space="0" w:color="auto"/>
              </w:divBdr>
            </w:div>
            <w:div w:id="520900530">
              <w:marLeft w:val="0"/>
              <w:marRight w:val="0"/>
              <w:marTop w:val="0"/>
              <w:marBottom w:val="0"/>
              <w:divBdr>
                <w:top w:val="none" w:sz="0" w:space="0" w:color="auto"/>
                <w:left w:val="none" w:sz="0" w:space="0" w:color="auto"/>
                <w:bottom w:val="none" w:sz="0" w:space="0" w:color="auto"/>
                <w:right w:val="none" w:sz="0" w:space="0" w:color="auto"/>
              </w:divBdr>
            </w:div>
            <w:div w:id="527453001">
              <w:marLeft w:val="0"/>
              <w:marRight w:val="0"/>
              <w:marTop w:val="0"/>
              <w:marBottom w:val="0"/>
              <w:divBdr>
                <w:top w:val="none" w:sz="0" w:space="0" w:color="auto"/>
                <w:left w:val="none" w:sz="0" w:space="0" w:color="auto"/>
                <w:bottom w:val="none" w:sz="0" w:space="0" w:color="auto"/>
                <w:right w:val="none" w:sz="0" w:space="0" w:color="auto"/>
              </w:divBdr>
            </w:div>
            <w:div w:id="686710149">
              <w:marLeft w:val="0"/>
              <w:marRight w:val="0"/>
              <w:marTop w:val="0"/>
              <w:marBottom w:val="0"/>
              <w:divBdr>
                <w:top w:val="none" w:sz="0" w:space="0" w:color="auto"/>
                <w:left w:val="none" w:sz="0" w:space="0" w:color="auto"/>
                <w:bottom w:val="none" w:sz="0" w:space="0" w:color="auto"/>
                <w:right w:val="none" w:sz="0" w:space="0" w:color="auto"/>
              </w:divBdr>
            </w:div>
            <w:div w:id="688335813">
              <w:marLeft w:val="0"/>
              <w:marRight w:val="0"/>
              <w:marTop w:val="0"/>
              <w:marBottom w:val="0"/>
              <w:divBdr>
                <w:top w:val="none" w:sz="0" w:space="0" w:color="auto"/>
                <w:left w:val="none" w:sz="0" w:space="0" w:color="auto"/>
                <w:bottom w:val="none" w:sz="0" w:space="0" w:color="auto"/>
                <w:right w:val="none" w:sz="0" w:space="0" w:color="auto"/>
              </w:divBdr>
            </w:div>
            <w:div w:id="721440744">
              <w:marLeft w:val="0"/>
              <w:marRight w:val="0"/>
              <w:marTop w:val="0"/>
              <w:marBottom w:val="0"/>
              <w:divBdr>
                <w:top w:val="none" w:sz="0" w:space="0" w:color="auto"/>
                <w:left w:val="none" w:sz="0" w:space="0" w:color="auto"/>
                <w:bottom w:val="none" w:sz="0" w:space="0" w:color="auto"/>
                <w:right w:val="none" w:sz="0" w:space="0" w:color="auto"/>
              </w:divBdr>
            </w:div>
            <w:div w:id="741954621">
              <w:marLeft w:val="0"/>
              <w:marRight w:val="0"/>
              <w:marTop w:val="0"/>
              <w:marBottom w:val="0"/>
              <w:divBdr>
                <w:top w:val="none" w:sz="0" w:space="0" w:color="auto"/>
                <w:left w:val="none" w:sz="0" w:space="0" w:color="auto"/>
                <w:bottom w:val="none" w:sz="0" w:space="0" w:color="auto"/>
                <w:right w:val="none" w:sz="0" w:space="0" w:color="auto"/>
              </w:divBdr>
            </w:div>
            <w:div w:id="802238112">
              <w:marLeft w:val="0"/>
              <w:marRight w:val="0"/>
              <w:marTop w:val="0"/>
              <w:marBottom w:val="0"/>
              <w:divBdr>
                <w:top w:val="none" w:sz="0" w:space="0" w:color="auto"/>
                <w:left w:val="none" w:sz="0" w:space="0" w:color="auto"/>
                <w:bottom w:val="none" w:sz="0" w:space="0" w:color="auto"/>
                <w:right w:val="none" w:sz="0" w:space="0" w:color="auto"/>
              </w:divBdr>
            </w:div>
            <w:div w:id="1036856809">
              <w:marLeft w:val="0"/>
              <w:marRight w:val="0"/>
              <w:marTop w:val="0"/>
              <w:marBottom w:val="0"/>
              <w:divBdr>
                <w:top w:val="none" w:sz="0" w:space="0" w:color="auto"/>
                <w:left w:val="none" w:sz="0" w:space="0" w:color="auto"/>
                <w:bottom w:val="none" w:sz="0" w:space="0" w:color="auto"/>
                <w:right w:val="none" w:sz="0" w:space="0" w:color="auto"/>
              </w:divBdr>
            </w:div>
            <w:div w:id="1055012295">
              <w:marLeft w:val="0"/>
              <w:marRight w:val="0"/>
              <w:marTop w:val="0"/>
              <w:marBottom w:val="0"/>
              <w:divBdr>
                <w:top w:val="none" w:sz="0" w:space="0" w:color="auto"/>
                <w:left w:val="none" w:sz="0" w:space="0" w:color="auto"/>
                <w:bottom w:val="none" w:sz="0" w:space="0" w:color="auto"/>
                <w:right w:val="none" w:sz="0" w:space="0" w:color="auto"/>
              </w:divBdr>
            </w:div>
            <w:div w:id="1063913965">
              <w:marLeft w:val="0"/>
              <w:marRight w:val="0"/>
              <w:marTop w:val="0"/>
              <w:marBottom w:val="0"/>
              <w:divBdr>
                <w:top w:val="none" w:sz="0" w:space="0" w:color="auto"/>
                <w:left w:val="none" w:sz="0" w:space="0" w:color="auto"/>
                <w:bottom w:val="none" w:sz="0" w:space="0" w:color="auto"/>
                <w:right w:val="none" w:sz="0" w:space="0" w:color="auto"/>
              </w:divBdr>
            </w:div>
            <w:div w:id="1199779189">
              <w:marLeft w:val="0"/>
              <w:marRight w:val="0"/>
              <w:marTop w:val="0"/>
              <w:marBottom w:val="0"/>
              <w:divBdr>
                <w:top w:val="none" w:sz="0" w:space="0" w:color="auto"/>
                <w:left w:val="none" w:sz="0" w:space="0" w:color="auto"/>
                <w:bottom w:val="none" w:sz="0" w:space="0" w:color="auto"/>
                <w:right w:val="none" w:sz="0" w:space="0" w:color="auto"/>
              </w:divBdr>
            </w:div>
            <w:div w:id="1203522499">
              <w:marLeft w:val="0"/>
              <w:marRight w:val="0"/>
              <w:marTop w:val="0"/>
              <w:marBottom w:val="0"/>
              <w:divBdr>
                <w:top w:val="none" w:sz="0" w:space="0" w:color="auto"/>
                <w:left w:val="none" w:sz="0" w:space="0" w:color="auto"/>
                <w:bottom w:val="none" w:sz="0" w:space="0" w:color="auto"/>
                <w:right w:val="none" w:sz="0" w:space="0" w:color="auto"/>
              </w:divBdr>
            </w:div>
            <w:div w:id="1291279011">
              <w:marLeft w:val="0"/>
              <w:marRight w:val="0"/>
              <w:marTop w:val="0"/>
              <w:marBottom w:val="0"/>
              <w:divBdr>
                <w:top w:val="none" w:sz="0" w:space="0" w:color="auto"/>
                <w:left w:val="none" w:sz="0" w:space="0" w:color="auto"/>
                <w:bottom w:val="none" w:sz="0" w:space="0" w:color="auto"/>
                <w:right w:val="none" w:sz="0" w:space="0" w:color="auto"/>
              </w:divBdr>
            </w:div>
            <w:div w:id="1317876906">
              <w:marLeft w:val="0"/>
              <w:marRight w:val="0"/>
              <w:marTop w:val="0"/>
              <w:marBottom w:val="0"/>
              <w:divBdr>
                <w:top w:val="none" w:sz="0" w:space="0" w:color="auto"/>
                <w:left w:val="none" w:sz="0" w:space="0" w:color="auto"/>
                <w:bottom w:val="none" w:sz="0" w:space="0" w:color="auto"/>
                <w:right w:val="none" w:sz="0" w:space="0" w:color="auto"/>
              </w:divBdr>
            </w:div>
            <w:div w:id="1332373785">
              <w:marLeft w:val="0"/>
              <w:marRight w:val="0"/>
              <w:marTop w:val="0"/>
              <w:marBottom w:val="0"/>
              <w:divBdr>
                <w:top w:val="none" w:sz="0" w:space="0" w:color="auto"/>
                <w:left w:val="none" w:sz="0" w:space="0" w:color="auto"/>
                <w:bottom w:val="none" w:sz="0" w:space="0" w:color="auto"/>
                <w:right w:val="none" w:sz="0" w:space="0" w:color="auto"/>
              </w:divBdr>
            </w:div>
            <w:div w:id="1353923336">
              <w:marLeft w:val="0"/>
              <w:marRight w:val="0"/>
              <w:marTop w:val="0"/>
              <w:marBottom w:val="0"/>
              <w:divBdr>
                <w:top w:val="none" w:sz="0" w:space="0" w:color="auto"/>
                <w:left w:val="none" w:sz="0" w:space="0" w:color="auto"/>
                <w:bottom w:val="none" w:sz="0" w:space="0" w:color="auto"/>
                <w:right w:val="none" w:sz="0" w:space="0" w:color="auto"/>
              </w:divBdr>
            </w:div>
            <w:div w:id="1365519799">
              <w:marLeft w:val="0"/>
              <w:marRight w:val="0"/>
              <w:marTop w:val="0"/>
              <w:marBottom w:val="0"/>
              <w:divBdr>
                <w:top w:val="none" w:sz="0" w:space="0" w:color="auto"/>
                <w:left w:val="none" w:sz="0" w:space="0" w:color="auto"/>
                <w:bottom w:val="none" w:sz="0" w:space="0" w:color="auto"/>
                <w:right w:val="none" w:sz="0" w:space="0" w:color="auto"/>
              </w:divBdr>
            </w:div>
            <w:div w:id="1455254091">
              <w:marLeft w:val="0"/>
              <w:marRight w:val="0"/>
              <w:marTop w:val="0"/>
              <w:marBottom w:val="0"/>
              <w:divBdr>
                <w:top w:val="none" w:sz="0" w:space="0" w:color="auto"/>
                <w:left w:val="none" w:sz="0" w:space="0" w:color="auto"/>
                <w:bottom w:val="none" w:sz="0" w:space="0" w:color="auto"/>
                <w:right w:val="none" w:sz="0" w:space="0" w:color="auto"/>
              </w:divBdr>
            </w:div>
            <w:div w:id="1536649291">
              <w:marLeft w:val="0"/>
              <w:marRight w:val="0"/>
              <w:marTop w:val="0"/>
              <w:marBottom w:val="0"/>
              <w:divBdr>
                <w:top w:val="none" w:sz="0" w:space="0" w:color="auto"/>
                <w:left w:val="none" w:sz="0" w:space="0" w:color="auto"/>
                <w:bottom w:val="none" w:sz="0" w:space="0" w:color="auto"/>
                <w:right w:val="none" w:sz="0" w:space="0" w:color="auto"/>
              </w:divBdr>
            </w:div>
            <w:div w:id="1550337135">
              <w:marLeft w:val="0"/>
              <w:marRight w:val="0"/>
              <w:marTop w:val="0"/>
              <w:marBottom w:val="0"/>
              <w:divBdr>
                <w:top w:val="none" w:sz="0" w:space="0" w:color="auto"/>
                <w:left w:val="none" w:sz="0" w:space="0" w:color="auto"/>
                <w:bottom w:val="none" w:sz="0" w:space="0" w:color="auto"/>
                <w:right w:val="none" w:sz="0" w:space="0" w:color="auto"/>
              </w:divBdr>
            </w:div>
            <w:div w:id="1675717020">
              <w:marLeft w:val="0"/>
              <w:marRight w:val="0"/>
              <w:marTop w:val="0"/>
              <w:marBottom w:val="0"/>
              <w:divBdr>
                <w:top w:val="none" w:sz="0" w:space="0" w:color="auto"/>
                <w:left w:val="none" w:sz="0" w:space="0" w:color="auto"/>
                <w:bottom w:val="none" w:sz="0" w:space="0" w:color="auto"/>
                <w:right w:val="none" w:sz="0" w:space="0" w:color="auto"/>
              </w:divBdr>
            </w:div>
            <w:div w:id="1740858305">
              <w:marLeft w:val="0"/>
              <w:marRight w:val="0"/>
              <w:marTop w:val="0"/>
              <w:marBottom w:val="0"/>
              <w:divBdr>
                <w:top w:val="none" w:sz="0" w:space="0" w:color="auto"/>
                <w:left w:val="none" w:sz="0" w:space="0" w:color="auto"/>
                <w:bottom w:val="none" w:sz="0" w:space="0" w:color="auto"/>
                <w:right w:val="none" w:sz="0" w:space="0" w:color="auto"/>
              </w:divBdr>
            </w:div>
            <w:div w:id="1775975235">
              <w:marLeft w:val="0"/>
              <w:marRight w:val="0"/>
              <w:marTop w:val="0"/>
              <w:marBottom w:val="0"/>
              <w:divBdr>
                <w:top w:val="none" w:sz="0" w:space="0" w:color="auto"/>
                <w:left w:val="none" w:sz="0" w:space="0" w:color="auto"/>
                <w:bottom w:val="none" w:sz="0" w:space="0" w:color="auto"/>
                <w:right w:val="none" w:sz="0" w:space="0" w:color="auto"/>
              </w:divBdr>
            </w:div>
            <w:div w:id="1885747086">
              <w:marLeft w:val="0"/>
              <w:marRight w:val="0"/>
              <w:marTop w:val="0"/>
              <w:marBottom w:val="0"/>
              <w:divBdr>
                <w:top w:val="none" w:sz="0" w:space="0" w:color="auto"/>
                <w:left w:val="none" w:sz="0" w:space="0" w:color="auto"/>
                <w:bottom w:val="none" w:sz="0" w:space="0" w:color="auto"/>
                <w:right w:val="none" w:sz="0" w:space="0" w:color="auto"/>
              </w:divBdr>
            </w:div>
            <w:div w:id="1943367886">
              <w:marLeft w:val="0"/>
              <w:marRight w:val="0"/>
              <w:marTop w:val="0"/>
              <w:marBottom w:val="0"/>
              <w:divBdr>
                <w:top w:val="none" w:sz="0" w:space="0" w:color="auto"/>
                <w:left w:val="none" w:sz="0" w:space="0" w:color="auto"/>
                <w:bottom w:val="none" w:sz="0" w:space="0" w:color="auto"/>
                <w:right w:val="none" w:sz="0" w:space="0" w:color="auto"/>
              </w:divBdr>
            </w:div>
            <w:div w:id="2054574258">
              <w:marLeft w:val="0"/>
              <w:marRight w:val="0"/>
              <w:marTop w:val="0"/>
              <w:marBottom w:val="0"/>
              <w:divBdr>
                <w:top w:val="none" w:sz="0" w:space="0" w:color="auto"/>
                <w:left w:val="none" w:sz="0" w:space="0" w:color="auto"/>
                <w:bottom w:val="none" w:sz="0" w:space="0" w:color="auto"/>
                <w:right w:val="none" w:sz="0" w:space="0" w:color="auto"/>
              </w:divBdr>
            </w:div>
            <w:div w:id="2062899695">
              <w:marLeft w:val="0"/>
              <w:marRight w:val="0"/>
              <w:marTop w:val="0"/>
              <w:marBottom w:val="0"/>
              <w:divBdr>
                <w:top w:val="none" w:sz="0" w:space="0" w:color="auto"/>
                <w:left w:val="none" w:sz="0" w:space="0" w:color="auto"/>
                <w:bottom w:val="none" w:sz="0" w:space="0" w:color="auto"/>
                <w:right w:val="none" w:sz="0" w:space="0" w:color="auto"/>
              </w:divBdr>
            </w:div>
            <w:div w:id="2136751414">
              <w:marLeft w:val="0"/>
              <w:marRight w:val="0"/>
              <w:marTop w:val="0"/>
              <w:marBottom w:val="0"/>
              <w:divBdr>
                <w:top w:val="none" w:sz="0" w:space="0" w:color="auto"/>
                <w:left w:val="none" w:sz="0" w:space="0" w:color="auto"/>
                <w:bottom w:val="none" w:sz="0" w:space="0" w:color="auto"/>
                <w:right w:val="none" w:sz="0" w:space="0" w:color="auto"/>
              </w:divBdr>
            </w:div>
          </w:divsChild>
        </w:div>
        <w:div w:id="1130631547">
          <w:marLeft w:val="0"/>
          <w:marRight w:val="0"/>
          <w:marTop w:val="0"/>
          <w:marBottom w:val="0"/>
          <w:divBdr>
            <w:top w:val="none" w:sz="0" w:space="0" w:color="auto"/>
            <w:left w:val="none" w:sz="0" w:space="0" w:color="auto"/>
            <w:bottom w:val="none" w:sz="0" w:space="0" w:color="auto"/>
            <w:right w:val="none" w:sz="0" w:space="0" w:color="auto"/>
          </w:divBdr>
        </w:div>
        <w:div w:id="1180319647">
          <w:marLeft w:val="0"/>
          <w:marRight w:val="0"/>
          <w:marTop w:val="0"/>
          <w:marBottom w:val="0"/>
          <w:divBdr>
            <w:top w:val="none" w:sz="0" w:space="0" w:color="auto"/>
            <w:left w:val="none" w:sz="0" w:space="0" w:color="auto"/>
            <w:bottom w:val="none" w:sz="0" w:space="0" w:color="auto"/>
            <w:right w:val="none" w:sz="0" w:space="0" w:color="auto"/>
          </w:divBdr>
          <w:divsChild>
            <w:div w:id="224611771">
              <w:marLeft w:val="0"/>
              <w:marRight w:val="0"/>
              <w:marTop w:val="0"/>
              <w:marBottom w:val="0"/>
              <w:divBdr>
                <w:top w:val="none" w:sz="0" w:space="0" w:color="auto"/>
                <w:left w:val="none" w:sz="0" w:space="0" w:color="auto"/>
                <w:bottom w:val="none" w:sz="0" w:space="0" w:color="auto"/>
                <w:right w:val="none" w:sz="0" w:space="0" w:color="auto"/>
              </w:divBdr>
            </w:div>
            <w:div w:id="236523930">
              <w:marLeft w:val="0"/>
              <w:marRight w:val="0"/>
              <w:marTop w:val="0"/>
              <w:marBottom w:val="0"/>
              <w:divBdr>
                <w:top w:val="none" w:sz="0" w:space="0" w:color="auto"/>
                <w:left w:val="none" w:sz="0" w:space="0" w:color="auto"/>
                <w:bottom w:val="none" w:sz="0" w:space="0" w:color="auto"/>
                <w:right w:val="none" w:sz="0" w:space="0" w:color="auto"/>
              </w:divBdr>
            </w:div>
            <w:div w:id="272253553">
              <w:marLeft w:val="0"/>
              <w:marRight w:val="0"/>
              <w:marTop w:val="0"/>
              <w:marBottom w:val="0"/>
              <w:divBdr>
                <w:top w:val="none" w:sz="0" w:space="0" w:color="auto"/>
                <w:left w:val="none" w:sz="0" w:space="0" w:color="auto"/>
                <w:bottom w:val="none" w:sz="0" w:space="0" w:color="auto"/>
                <w:right w:val="none" w:sz="0" w:space="0" w:color="auto"/>
              </w:divBdr>
              <w:divsChild>
                <w:div w:id="1121260986">
                  <w:marLeft w:val="0"/>
                  <w:marRight w:val="0"/>
                  <w:marTop w:val="0"/>
                  <w:marBottom w:val="0"/>
                  <w:divBdr>
                    <w:top w:val="none" w:sz="0" w:space="0" w:color="auto"/>
                    <w:left w:val="none" w:sz="0" w:space="0" w:color="auto"/>
                    <w:bottom w:val="none" w:sz="0" w:space="0" w:color="auto"/>
                    <w:right w:val="none" w:sz="0" w:space="0" w:color="auto"/>
                  </w:divBdr>
                </w:div>
              </w:divsChild>
            </w:div>
            <w:div w:id="14815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28813">
      <w:bodyDiv w:val="1"/>
      <w:marLeft w:val="0"/>
      <w:marRight w:val="0"/>
      <w:marTop w:val="0"/>
      <w:marBottom w:val="0"/>
      <w:divBdr>
        <w:top w:val="none" w:sz="0" w:space="0" w:color="auto"/>
        <w:left w:val="none" w:sz="0" w:space="0" w:color="auto"/>
        <w:bottom w:val="none" w:sz="0" w:space="0" w:color="auto"/>
        <w:right w:val="none" w:sz="0" w:space="0" w:color="auto"/>
      </w:divBdr>
    </w:div>
    <w:div w:id="1304846181">
      <w:bodyDiv w:val="1"/>
      <w:marLeft w:val="0"/>
      <w:marRight w:val="0"/>
      <w:marTop w:val="0"/>
      <w:marBottom w:val="0"/>
      <w:divBdr>
        <w:top w:val="none" w:sz="0" w:space="0" w:color="auto"/>
        <w:left w:val="none" w:sz="0" w:space="0" w:color="auto"/>
        <w:bottom w:val="none" w:sz="0" w:space="0" w:color="auto"/>
        <w:right w:val="none" w:sz="0" w:space="0" w:color="auto"/>
      </w:divBdr>
    </w:div>
    <w:div w:id="1334797406">
      <w:bodyDiv w:val="1"/>
      <w:marLeft w:val="0"/>
      <w:marRight w:val="0"/>
      <w:marTop w:val="0"/>
      <w:marBottom w:val="0"/>
      <w:divBdr>
        <w:top w:val="none" w:sz="0" w:space="0" w:color="auto"/>
        <w:left w:val="none" w:sz="0" w:space="0" w:color="auto"/>
        <w:bottom w:val="none" w:sz="0" w:space="0" w:color="auto"/>
        <w:right w:val="none" w:sz="0" w:space="0" w:color="auto"/>
      </w:divBdr>
    </w:div>
    <w:div w:id="1335689338">
      <w:bodyDiv w:val="1"/>
      <w:marLeft w:val="0"/>
      <w:marRight w:val="0"/>
      <w:marTop w:val="0"/>
      <w:marBottom w:val="0"/>
      <w:divBdr>
        <w:top w:val="none" w:sz="0" w:space="0" w:color="auto"/>
        <w:left w:val="none" w:sz="0" w:space="0" w:color="auto"/>
        <w:bottom w:val="none" w:sz="0" w:space="0" w:color="auto"/>
        <w:right w:val="none" w:sz="0" w:space="0" w:color="auto"/>
      </w:divBdr>
    </w:div>
    <w:div w:id="1359545839">
      <w:bodyDiv w:val="1"/>
      <w:marLeft w:val="0"/>
      <w:marRight w:val="0"/>
      <w:marTop w:val="0"/>
      <w:marBottom w:val="0"/>
      <w:divBdr>
        <w:top w:val="none" w:sz="0" w:space="0" w:color="auto"/>
        <w:left w:val="none" w:sz="0" w:space="0" w:color="auto"/>
        <w:bottom w:val="none" w:sz="0" w:space="0" w:color="auto"/>
        <w:right w:val="none" w:sz="0" w:space="0" w:color="auto"/>
      </w:divBdr>
      <w:divsChild>
        <w:div w:id="1970479243">
          <w:marLeft w:val="0"/>
          <w:marRight w:val="0"/>
          <w:marTop w:val="0"/>
          <w:marBottom w:val="0"/>
          <w:divBdr>
            <w:top w:val="single" w:sz="2" w:space="0" w:color="D9D9E3"/>
            <w:left w:val="single" w:sz="2" w:space="0" w:color="D9D9E3"/>
            <w:bottom w:val="single" w:sz="2" w:space="0" w:color="D9D9E3"/>
            <w:right w:val="single" w:sz="2" w:space="0" w:color="D9D9E3"/>
          </w:divBdr>
          <w:divsChild>
            <w:div w:id="693311009">
              <w:marLeft w:val="0"/>
              <w:marRight w:val="0"/>
              <w:marTop w:val="0"/>
              <w:marBottom w:val="0"/>
              <w:divBdr>
                <w:top w:val="single" w:sz="2" w:space="0" w:color="D9D9E3"/>
                <w:left w:val="single" w:sz="2" w:space="0" w:color="D9D9E3"/>
                <w:bottom w:val="single" w:sz="2" w:space="0" w:color="D9D9E3"/>
                <w:right w:val="single" w:sz="2" w:space="0" w:color="D9D9E3"/>
              </w:divBdr>
              <w:divsChild>
                <w:div w:id="503595113">
                  <w:marLeft w:val="0"/>
                  <w:marRight w:val="0"/>
                  <w:marTop w:val="0"/>
                  <w:marBottom w:val="0"/>
                  <w:divBdr>
                    <w:top w:val="single" w:sz="2" w:space="0" w:color="D9D9E3"/>
                    <w:left w:val="single" w:sz="2" w:space="0" w:color="D9D9E3"/>
                    <w:bottom w:val="single" w:sz="2" w:space="0" w:color="D9D9E3"/>
                    <w:right w:val="single" w:sz="2" w:space="0" w:color="D9D9E3"/>
                  </w:divBdr>
                  <w:divsChild>
                    <w:div w:id="1435397725">
                      <w:marLeft w:val="0"/>
                      <w:marRight w:val="0"/>
                      <w:marTop w:val="0"/>
                      <w:marBottom w:val="0"/>
                      <w:divBdr>
                        <w:top w:val="single" w:sz="2" w:space="0" w:color="D9D9E3"/>
                        <w:left w:val="single" w:sz="2" w:space="0" w:color="D9D9E3"/>
                        <w:bottom w:val="single" w:sz="2" w:space="0" w:color="D9D9E3"/>
                        <w:right w:val="single" w:sz="2" w:space="0" w:color="D9D9E3"/>
                      </w:divBdr>
                      <w:divsChild>
                        <w:div w:id="1834684159">
                          <w:marLeft w:val="0"/>
                          <w:marRight w:val="0"/>
                          <w:marTop w:val="0"/>
                          <w:marBottom w:val="0"/>
                          <w:divBdr>
                            <w:top w:val="single" w:sz="2" w:space="0" w:color="auto"/>
                            <w:left w:val="single" w:sz="2" w:space="0" w:color="auto"/>
                            <w:bottom w:val="single" w:sz="6" w:space="0" w:color="auto"/>
                            <w:right w:val="single" w:sz="2" w:space="0" w:color="auto"/>
                          </w:divBdr>
                          <w:divsChild>
                            <w:div w:id="1412579175">
                              <w:marLeft w:val="0"/>
                              <w:marRight w:val="0"/>
                              <w:marTop w:val="100"/>
                              <w:marBottom w:val="100"/>
                              <w:divBdr>
                                <w:top w:val="single" w:sz="2" w:space="0" w:color="D9D9E3"/>
                                <w:left w:val="single" w:sz="2" w:space="0" w:color="D9D9E3"/>
                                <w:bottom w:val="single" w:sz="2" w:space="0" w:color="D9D9E3"/>
                                <w:right w:val="single" w:sz="2" w:space="0" w:color="D9D9E3"/>
                              </w:divBdr>
                              <w:divsChild>
                                <w:div w:id="978651369">
                                  <w:marLeft w:val="0"/>
                                  <w:marRight w:val="0"/>
                                  <w:marTop w:val="0"/>
                                  <w:marBottom w:val="0"/>
                                  <w:divBdr>
                                    <w:top w:val="single" w:sz="2" w:space="0" w:color="D9D9E3"/>
                                    <w:left w:val="single" w:sz="2" w:space="0" w:color="D9D9E3"/>
                                    <w:bottom w:val="single" w:sz="2" w:space="0" w:color="D9D9E3"/>
                                    <w:right w:val="single" w:sz="2" w:space="0" w:color="D9D9E3"/>
                                  </w:divBdr>
                                  <w:divsChild>
                                    <w:div w:id="952595826">
                                      <w:marLeft w:val="0"/>
                                      <w:marRight w:val="0"/>
                                      <w:marTop w:val="0"/>
                                      <w:marBottom w:val="0"/>
                                      <w:divBdr>
                                        <w:top w:val="single" w:sz="2" w:space="0" w:color="D9D9E3"/>
                                        <w:left w:val="single" w:sz="2" w:space="0" w:color="D9D9E3"/>
                                        <w:bottom w:val="single" w:sz="2" w:space="0" w:color="D9D9E3"/>
                                        <w:right w:val="single" w:sz="2" w:space="0" w:color="D9D9E3"/>
                                      </w:divBdr>
                                      <w:divsChild>
                                        <w:div w:id="154686691">
                                          <w:marLeft w:val="0"/>
                                          <w:marRight w:val="0"/>
                                          <w:marTop w:val="0"/>
                                          <w:marBottom w:val="0"/>
                                          <w:divBdr>
                                            <w:top w:val="single" w:sz="2" w:space="0" w:color="D9D9E3"/>
                                            <w:left w:val="single" w:sz="2" w:space="0" w:color="D9D9E3"/>
                                            <w:bottom w:val="single" w:sz="2" w:space="0" w:color="D9D9E3"/>
                                            <w:right w:val="single" w:sz="2" w:space="0" w:color="D9D9E3"/>
                                          </w:divBdr>
                                          <w:divsChild>
                                            <w:div w:id="1854073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06536854">
          <w:marLeft w:val="0"/>
          <w:marRight w:val="0"/>
          <w:marTop w:val="0"/>
          <w:marBottom w:val="0"/>
          <w:divBdr>
            <w:top w:val="none" w:sz="0" w:space="0" w:color="auto"/>
            <w:left w:val="none" w:sz="0" w:space="0" w:color="auto"/>
            <w:bottom w:val="none" w:sz="0" w:space="0" w:color="auto"/>
            <w:right w:val="none" w:sz="0" w:space="0" w:color="auto"/>
          </w:divBdr>
          <w:divsChild>
            <w:div w:id="1384789885">
              <w:marLeft w:val="0"/>
              <w:marRight w:val="0"/>
              <w:marTop w:val="0"/>
              <w:marBottom w:val="0"/>
              <w:divBdr>
                <w:top w:val="single" w:sz="2" w:space="0" w:color="D9D9E3"/>
                <w:left w:val="single" w:sz="2" w:space="0" w:color="D9D9E3"/>
                <w:bottom w:val="single" w:sz="2" w:space="0" w:color="D9D9E3"/>
                <w:right w:val="single" w:sz="2" w:space="0" w:color="D9D9E3"/>
              </w:divBdr>
              <w:divsChild>
                <w:div w:id="705519928">
                  <w:marLeft w:val="0"/>
                  <w:marRight w:val="0"/>
                  <w:marTop w:val="0"/>
                  <w:marBottom w:val="0"/>
                  <w:divBdr>
                    <w:top w:val="single" w:sz="2" w:space="0" w:color="D9D9E3"/>
                    <w:left w:val="single" w:sz="2" w:space="0" w:color="D9D9E3"/>
                    <w:bottom w:val="single" w:sz="2" w:space="0" w:color="D9D9E3"/>
                    <w:right w:val="single" w:sz="2" w:space="0" w:color="D9D9E3"/>
                  </w:divBdr>
                  <w:divsChild>
                    <w:div w:id="21138205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71809175">
      <w:bodyDiv w:val="1"/>
      <w:marLeft w:val="0"/>
      <w:marRight w:val="0"/>
      <w:marTop w:val="0"/>
      <w:marBottom w:val="0"/>
      <w:divBdr>
        <w:top w:val="none" w:sz="0" w:space="0" w:color="auto"/>
        <w:left w:val="none" w:sz="0" w:space="0" w:color="auto"/>
        <w:bottom w:val="none" w:sz="0" w:space="0" w:color="auto"/>
        <w:right w:val="none" w:sz="0" w:space="0" w:color="auto"/>
      </w:divBdr>
    </w:div>
    <w:div w:id="1414931137">
      <w:bodyDiv w:val="1"/>
      <w:marLeft w:val="0"/>
      <w:marRight w:val="0"/>
      <w:marTop w:val="0"/>
      <w:marBottom w:val="0"/>
      <w:divBdr>
        <w:top w:val="none" w:sz="0" w:space="0" w:color="auto"/>
        <w:left w:val="none" w:sz="0" w:space="0" w:color="auto"/>
        <w:bottom w:val="none" w:sz="0" w:space="0" w:color="auto"/>
        <w:right w:val="none" w:sz="0" w:space="0" w:color="auto"/>
      </w:divBdr>
    </w:div>
    <w:div w:id="1418017132">
      <w:bodyDiv w:val="1"/>
      <w:marLeft w:val="0"/>
      <w:marRight w:val="0"/>
      <w:marTop w:val="0"/>
      <w:marBottom w:val="0"/>
      <w:divBdr>
        <w:top w:val="none" w:sz="0" w:space="0" w:color="auto"/>
        <w:left w:val="none" w:sz="0" w:space="0" w:color="auto"/>
        <w:bottom w:val="none" w:sz="0" w:space="0" w:color="auto"/>
        <w:right w:val="none" w:sz="0" w:space="0" w:color="auto"/>
      </w:divBdr>
    </w:div>
    <w:div w:id="1436747529">
      <w:bodyDiv w:val="1"/>
      <w:marLeft w:val="0"/>
      <w:marRight w:val="0"/>
      <w:marTop w:val="0"/>
      <w:marBottom w:val="0"/>
      <w:divBdr>
        <w:top w:val="none" w:sz="0" w:space="0" w:color="auto"/>
        <w:left w:val="none" w:sz="0" w:space="0" w:color="auto"/>
        <w:bottom w:val="none" w:sz="0" w:space="0" w:color="auto"/>
        <w:right w:val="none" w:sz="0" w:space="0" w:color="auto"/>
      </w:divBdr>
    </w:div>
    <w:div w:id="1443569583">
      <w:bodyDiv w:val="1"/>
      <w:marLeft w:val="0"/>
      <w:marRight w:val="0"/>
      <w:marTop w:val="0"/>
      <w:marBottom w:val="0"/>
      <w:divBdr>
        <w:top w:val="none" w:sz="0" w:space="0" w:color="auto"/>
        <w:left w:val="none" w:sz="0" w:space="0" w:color="auto"/>
        <w:bottom w:val="none" w:sz="0" w:space="0" w:color="auto"/>
        <w:right w:val="none" w:sz="0" w:space="0" w:color="auto"/>
      </w:divBdr>
      <w:divsChild>
        <w:div w:id="875965165">
          <w:marLeft w:val="0"/>
          <w:marRight w:val="0"/>
          <w:marTop w:val="0"/>
          <w:marBottom w:val="0"/>
          <w:divBdr>
            <w:top w:val="none" w:sz="0" w:space="0" w:color="auto"/>
            <w:left w:val="none" w:sz="0" w:space="0" w:color="auto"/>
            <w:bottom w:val="none" w:sz="0" w:space="0" w:color="auto"/>
            <w:right w:val="none" w:sz="0" w:space="0" w:color="auto"/>
          </w:divBdr>
          <w:divsChild>
            <w:div w:id="855340739">
              <w:marLeft w:val="0"/>
              <w:marRight w:val="0"/>
              <w:marTop w:val="0"/>
              <w:marBottom w:val="0"/>
              <w:divBdr>
                <w:top w:val="none" w:sz="0" w:space="0" w:color="auto"/>
                <w:left w:val="none" w:sz="0" w:space="0" w:color="auto"/>
                <w:bottom w:val="none" w:sz="0" w:space="0" w:color="auto"/>
                <w:right w:val="none" w:sz="0" w:space="0" w:color="auto"/>
              </w:divBdr>
              <w:divsChild>
                <w:div w:id="2004117279">
                  <w:marLeft w:val="0"/>
                  <w:marRight w:val="0"/>
                  <w:marTop w:val="0"/>
                  <w:marBottom w:val="0"/>
                  <w:divBdr>
                    <w:top w:val="none" w:sz="0" w:space="0" w:color="auto"/>
                    <w:left w:val="none" w:sz="0" w:space="0" w:color="auto"/>
                    <w:bottom w:val="none" w:sz="0" w:space="0" w:color="auto"/>
                    <w:right w:val="none" w:sz="0" w:space="0" w:color="auto"/>
                  </w:divBdr>
                  <w:divsChild>
                    <w:div w:id="1891960265">
                      <w:marLeft w:val="0"/>
                      <w:marRight w:val="0"/>
                      <w:marTop w:val="0"/>
                      <w:marBottom w:val="0"/>
                      <w:divBdr>
                        <w:top w:val="none" w:sz="0" w:space="0" w:color="auto"/>
                        <w:left w:val="none" w:sz="0" w:space="0" w:color="auto"/>
                        <w:bottom w:val="none" w:sz="0" w:space="0" w:color="auto"/>
                        <w:right w:val="none" w:sz="0" w:space="0" w:color="auto"/>
                      </w:divBdr>
                      <w:divsChild>
                        <w:div w:id="699018196">
                          <w:marLeft w:val="0"/>
                          <w:marRight w:val="0"/>
                          <w:marTop w:val="0"/>
                          <w:marBottom w:val="0"/>
                          <w:divBdr>
                            <w:top w:val="none" w:sz="0" w:space="0" w:color="auto"/>
                            <w:left w:val="none" w:sz="0" w:space="0" w:color="auto"/>
                            <w:bottom w:val="none" w:sz="0" w:space="0" w:color="auto"/>
                            <w:right w:val="none" w:sz="0" w:space="0" w:color="auto"/>
                          </w:divBdr>
                          <w:divsChild>
                            <w:div w:id="519467614">
                              <w:marLeft w:val="0"/>
                              <w:marRight w:val="0"/>
                              <w:marTop w:val="0"/>
                              <w:marBottom w:val="0"/>
                              <w:divBdr>
                                <w:top w:val="none" w:sz="0" w:space="0" w:color="auto"/>
                                <w:left w:val="none" w:sz="0" w:space="0" w:color="auto"/>
                                <w:bottom w:val="none" w:sz="0" w:space="0" w:color="auto"/>
                                <w:right w:val="none" w:sz="0" w:space="0" w:color="auto"/>
                              </w:divBdr>
                              <w:divsChild>
                                <w:div w:id="55977600">
                                  <w:marLeft w:val="0"/>
                                  <w:marRight w:val="0"/>
                                  <w:marTop w:val="0"/>
                                  <w:marBottom w:val="0"/>
                                  <w:divBdr>
                                    <w:top w:val="none" w:sz="0" w:space="0" w:color="auto"/>
                                    <w:left w:val="none" w:sz="0" w:space="0" w:color="auto"/>
                                    <w:bottom w:val="none" w:sz="0" w:space="0" w:color="auto"/>
                                    <w:right w:val="none" w:sz="0" w:space="0" w:color="auto"/>
                                  </w:divBdr>
                                  <w:divsChild>
                                    <w:div w:id="808861831">
                                      <w:marLeft w:val="0"/>
                                      <w:marRight w:val="0"/>
                                      <w:marTop w:val="0"/>
                                      <w:marBottom w:val="0"/>
                                      <w:divBdr>
                                        <w:top w:val="none" w:sz="0" w:space="0" w:color="auto"/>
                                        <w:left w:val="none" w:sz="0" w:space="0" w:color="auto"/>
                                        <w:bottom w:val="none" w:sz="0" w:space="0" w:color="auto"/>
                                        <w:right w:val="none" w:sz="0" w:space="0" w:color="auto"/>
                                      </w:divBdr>
                                      <w:divsChild>
                                        <w:div w:id="1328099086">
                                          <w:marLeft w:val="0"/>
                                          <w:marRight w:val="0"/>
                                          <w:marTop w:val="0"/>
                                          <w:marBottom w:val="0"/>
                                          <w:divBdr>
                                            <w:top w:val="none" w:sz="0" w:space="0" w:color="auto"/>
                                            <w:left w:val="none" w:sz="0" w:space="0" w:color="auto"/>
                                            <w:bottom w:val="none" w:sz="0" w:space="0" w:color="auto"/>
                                            <w:right w:val="none" w:sz="0" w:space="0" w:color="auto"/>
                                          </w:divBdr>
                                          <w:divsChild>
                                            <w:div w:id="1115565548">
                                              <w:marLeft w:val="0"/>
                                              <w:marRight w:val="0"/>
                                              <w:marTop w:val="0"/>
                                              <w:marBottom w:val="0"/>
                                              <w:divBdr>
                                                <w:top w:val="none" w:sz="0" w:space="0" w:color="auto"/>
                                                <w:left w:val="none" w:sz="0" w:space="0" w:color="auto"/>
                                                <w:bottom w:val="none" w:sz="0" w:space="0" w:color="auto"/>
                                                <w:right w:val="none" w:sz="0" w:space="0" w:color="auto"/>
                                              </w:divBdr>
                                              <w:divsChild>
                                                <w:div w:id="770972055">
                                                  <w:marLeft w:val="0"/>
                                                  <w:marRight w:val="0"/>
                                                  <w:marTop w:val="0"/>
                                                  <w:marBottom w:val="0"/>
                                                  <w:divBdr>
                                                    <w:top w:val="none" w:sz="0" w:space="0" w:color="auto"/>
                                                    <w:left w:val="none" w:sz="0" w:space="0" w:color="auto"/>
                                                    <w:bottom w:val="none" w:sz="0" w:space="0" w:color="auto"/>
                                                    <w:right w:val="none" w:sz="0" w:space="0" w:color="auto"/>
                                                  </w:divBdr>
                                                  <w:divsChild>
                                                    <w:div w:id="1415011739">
                                                      <w:marLeft w:val="0"/>
                                                      <w:marRight w:val="0"/>
                                                      <w:marTop w:val="0"/>
                                                      <w:marBottom w:val="0"/>
                                                      <w:divBdr>
                                                        <w:top w:val="none" w:sz="0" w:space="0" w:color="auto"/>
                                                        <w:left w:val="none" w:sz="0" w:space="0" w:color="auto"/>
                                                        <w:bottom w:val="none" w:sz="0" w:space="0" w:color="auto"/>
                                                        <w:right w:val="none" w:sz="0" w:space="0" w:color="auto"/>
                                                      </w:divBdr>
                                                      <w:divsChild>
                                                        <w:div w:id="1095592509">
                                                          <w:marLeft w:val="0"/>
                                                          <w:marRight w:val="0"/>
                                                          <w:marTop w:val="0"/>
                                                          <w:marBottom w:val="0"/>
                                                          <w:divBdr>
                                                            <w:top w:val="none" w:sz="0" w:space="0" w:color="auto"/>
                                                            <w:left w:val="none" w:sz="0" w:space="0" w:color="auto"/>
                                                            <w:bottom w:val="none" w:sz="0" w:space="0" w:color="auto"/>
                                                            <w:right w:val="none" w:sz="0" w:space="0" w:color="auto"/>
                                                          </w:divBdr>
                                                          <w:divsChild>
                                                            <w:div w:id="861557394">
                                                              <w:marLeft w:val="0"/>
                                                              <w:marRight w:val="0"/>
                                                              <w:marTop w:val="0"/>
                                                              <w:marBottom w:val="0"/>
                                                              <w:divBdr>
                                                                <w:top w:val="none" w:sz="0" w:space="0" w:color="auto"/>
                                                                <w:left w:val="none" w:sz="0" w:space="0" w:color="auto"/>
                                                                <w:bottom w:val="none" w:sz="0" w:space="0" w:color="auto"/>
                                                                <w:right w:val="none" w:sz="0" w:space="0" w:color="auto"/>
                                                              </w:divBdr>
                                                              <w:divsChild>
                                                                <w:div w:id="1665432386">
                                                                  <w:marLeft w:val="0"/>
                                                                  <w:marRight w:val="0"/>
                                                                  <w:marTop w:val="0"/>
                                                                  <w:marBottom w:val="0"/>
                                                                  <w:divBdr>
                                                                    <w:top w:val="none" w:sz="0" w:space="0" w:color="auto"/>
                                                                    <w:left w:val="none" w:sz="0" w:space="0" w:color="auto"/>
                                                                    <w:bottom w:val="none" w:sz="0" w:space="0" w:color="auto"/>
                                                                    <w:right w:val="none" w:sz="0" w:space="0" w:color="auto"/>
                                                                  </w:divBdr>
                                                                  <w:divsChild>
                                                                    <w:div w:id="1418748746">
                                                                      <w:marLeft w:val="0"/>
                                                                      <w:marRight w:val="0"/>
                                                                      <w:marTop w:val="0"/>
                                                                      <w:marBottom w:val="0"/>
                                                                      <w:divBdr>
                                                                        <w:top w:val="none" w:sz="0" w:space="0" w:color="auto"/>
                                                                        <w:left w:val="none" w:sz="0" w:space="0" w:color="auto"/>
                                                                        <w:bottom w:val="none" w:sz="0" w:space="0" w:color="auto"/>
                                                                        <w:right w:val="none" w:sz="0" w:space="0" w:color="auto"/>
                                                                      </w:divBdr>
                                                                    </w:div>
                                                                    <w:div w:id="8758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7697684">
      <w:bodyDiv w:val="1"/>
      <w:marLeft w:val="0"/>
      <w:marRight w:val="0"/>
      <w:marTop w:val="0"/>
      <w:marBottom w:val="0"/>
      <w:divBdr>
        <w:top w:val="none" w:sz="0" w:space="0" w:color="auto"/>
        <w:left w:val="none" w:sz="0" w:space="0" w:color="auto"/>
        <w:bottom w:val="none" w:sz="0" w:space="0" w:color="auto"/>
        <w:right w:val="none" w:sz="0" w:space="0" w:color="auto"/>
      </w:divBdr>
    </w:div>
    <w:div w:id="1512837930">
      <w:bodyDiv w:val="1"/>
      <w:marLeft w:val="0"/>
      <w:marRight w:val="0"/>
      <w:marTop w:val="0"/>
      <w:marBottom w:val="0"/>
      <w:divBdr>
        <w:top w:val="none" w:sz="0" w:space="0" w:color="auto"/>
        <w:left w:val="none" w:sz="0" w:space="0" w:color="auto"/>
        <w:bottom w:val="none" w:sz="0" w:space="0" w:color="auto"/>
        <w:right w:val="none" w:sz="0" w:space="0" w:color="auto"/>
      </w:divBdr>
    </w:div>
    <w:div w:id="1520504011">
      <w:bodyDiv w:val="1"/>
      <w:marLeft w:val="0"/>
      <w:marRight w:val="0"/>
      <w:marTop w:val="0"/>
      <w:marBottom w:val="0"/>
      <w:divBdr>
        <w:top w:val="none" w:sz="0" w:space="0" w:color="auto"/>
        <w:left w:val="none" w:sz="0" w:space="0" w:color="auto"/>
        <w:bottom w:val="none" w:sz="0" w:space="0" w:color="auto"/>
        <w:right w:val="none" w:sz="0" w:space="0" w:color="auto"/>
      </w:divBdr>
    </w:div>
    <w:div w:id="1525482743">
      <w:bodyDiv w:val="1"/>
      <w:marLeft w:val="0"/>
      <w:marRight w:val="0"/>
      <w:marTop w:val="0"/>
      <w:marBottom w:val="0"/>
      <w:divBdr>
        <w:top w:val="none" w:sz="0" w:space="0" w:color="auto"/>
        <w:left w:val="none" w:sz="0" w:space="0" w:color="auto"/>
        <w:bottom w:val="none" w:sz="0" w:space="0" w:color="auto"/>
        <w:right w:val="none" w:sz="0" w:space="0" w:color="auto"/>
      </w:divBdr>
    </w:div>
    <w:div w:id="1569339699">
      <w:bodyDiv w:val="1"/>
      <w:marLeft w:val="0"/>
      <w:marRight w:val="0"/>
      <w:marTop w:val="0"/>
      <w:marBottom w:val="0"/>
      <w:divBdr>
        <w:top w:val="none" w:sz="0" w:space="0" w:color="auto"/>
        <w:left w:val="none" w:sz="0" w:space="0" w:color="auto"/>
        <w:bottom w:val="none" w:sz="0" w:space="0" w:color="auto"/>
        <w:right w:val="none" w:sz="0" w:space="0" w:color="auto"/>
      </w:divBdr>
    </w:div>
    <w:div w:id="1580168611">
      <w:bodyDiv w:val="1"/>
      <w:marLeft w:val="0"/>
      <w:marRight w:val="0"/>
      <w:marTop w:val="0"/>
      <w:marBottom w:val="0"/>
      <w:divBdr>
        <w:top w:val="none" w:sz="0" w:space="0" w:color="auto"/>
        <w:left w:val="none" w:sz="0" w:space="0" w:color="auto"/>
        <w:bottom w:val="none" w:sz="0" w:space="0" w:color="auto"/>
        <w:right w:val="none" w:sz="0" w:space="0" w:color="auto"/>
      </w:divBdr>
    </w:div>
    <w:div w:id="1605264322">
      <w:bodyDiv w:val="1"/>
      <w:marLeft w:val="0"/>
      <w:marRight w:val="0"/>
      <w:marTop w:val="0"/>
      <w:marBottom w:val="0"/>
      <w:divBdr>
        <w:top w:val="none" w:sz="0" w:space="0" w:color="auto"/>
        <w:left w:val="none" w:sz="0" w:space="0" w:color="auto"/>
        <w:bottom w:val="none" w:sz="0" w:space="0" w:color="auto"/>
        <w:right w:val="none" w:sz="0" w:space="0" w:color="auto"/>
      </w:divBdr>
    </w:div>
    <w:div w:id="1614239661">
      <w:bodyDiv w:val="1"/>
      <w:marLeft w:val="0"/>
      <w:marRight w:val="0"/>
      <w:marTop w:val="0"/>
      <w:marBottom w:val="0"/>
      <w:divBdr>
        <w:top w:val="none" w:sz="0" w:space="0" w:color="auto"/>
        <w:left w:val="none" w:sz="0" w:space="0" w:color="auto"/>
        <w:bottom w:val="none" w:sz="0" w:space="0" w:color="auto"/>
        <w:right w:val="none" w:sz="0" w:space="0" w:color="auto"/>
      </w:divBdr>
    </w:div>
    <w:div w:id="1625967685">
      <w:bodyDiv w:val="1"/>
      <w:marLeft w:val="0"/>
      <w:marRight w:val="0"/>
      <w:marTop w:val="0"/>
      <w:marBottom w:val="0"/>
      <w:divBdr>
        <w:top w:val="none" w:sz="0" w:space="0" w:color="auto"/>
        <w:left w:val="none" w:sz="0" w:space="0" w:color="auto"/>
        <w:bottom w:val="none" w:sz="0" w:space="0" w:color="auto"/>
        <w:right w:val="none" w:sz="0" w:space="0" w:color="auto"/>
      </w:divBdr>
    </w:div>
    <w:div w:id="1660233210">
      <w:bodyDiv w:val="1"/>
      <w:marLeft w:val="0"/>
      <w:marRight w:val="0"/>
      <w:marTop w:val="0"/>
      <w:marBottom w:val="0"/>
      <w:divBdr>
        <w:top w:val="none" w:sz="0" w:space="0" w:color="auto"/>
        <w:left w:val="none" w:sz="0" w:space="0" w:color="auto"/>
        <w:bottom w:val="none" w:sz="0" w:space="0" w:color="auto"/>
        <w:right w:val="none" w:sz="0" w:space="0" w:color="auto"/>
      </w:divBdr>
    </w:div>
    <w:div w:id="1679693255">
      <w:bodyDiv w:val="1"/>
      <w:marLeft w:val="0"/>
      <w:marRight w:val="0"/>
      <w:marTop w:val="0"/>
      <w:marBottom w:val="0"/>
      <w:divBdr>
        <w:top w:val="none" w:sz="0" w:space="0" w:color="auto"/>
        <w:left w:val="none" w:sz="0" w:space="0" w:color="auto"/>
        <w:bottom w:val="none" w:sz="0" w:space="0" w:color="auto"/>
        <w:right w:val="none" w:sz="0" w:space="0" w:color="auto"/>
      </w:divBdr>
    </w:div>
    <w:div w:id="1706514921">
      <w:bodyDiv w:val="1"/>
      <w:marLeft w:val="0"/>
      <w:marRight w:val="0"/>
      <w:marTop w:val="0"/>
      <w:marBottom w:val="0"/>
      <w:divBdr>
        <w:top w:val="none" w:sz="0" w:space="0" w:color="auto"/>
        <w:left w:val="none" w:sz="0" w:space="0" w:color="auto"/>
        <w:bottom w:val="none" w:sz="0" w:space="0" w:color="auto"/>
        <w:right w:val="none" w:sz="0" w:space="0" w:color="auto"/>
      </w:divBdr>
    </w:div>
    <w:div w:id="1708872545">
      <w:bodyDiv w:val="1"/>
      <w:marLeft w:val="0"/>
      <w:marRight w:val="0"/>
      <w:marTop w:val="0"/>
      <w:marBottom w:val="0"/>
      <w:divBdr>
        <w:top w:val="none" w:sz="0" w:space="0" w:color="auto"/>
        <w:left w:val="none" w:sz="0" w:space="0" w:color="auto"/>
        <w:bottom w:val="none" w:sz="0" w:space="0" w:color="auto"/>
        <w:right w:val="none" w:sz="0" w:space="0" w:color="auto"/>
      </w:divBdr>
    </w:div>
    <w:div w:id="1714496765">
      <w:bodyDiv w:val="1"/>
      <w:marLeft w:val="0"/>
      <w:marRight w:val="0"/>
      <w:marTop w:val="0"/>
      <w:marBottom w:val="0"/>
      <w:divBdr>
        <w:top w:val="none" w:sz="0" w:space="0" w:color="auto"/>
        <w:left w:val="none" w:sz="0" w:space="0" w:color="auto"/>
        <w:bottom w:val="none" w:sz="0" w:space="0" w:color="auto"/>
        <w:right w:val="none" w:sz="0" w:space="0" w:color="auto"/>
      </w:divBdr>
    </w:div>
    <w:div w:id="1729260282">
      <w:bodyDiv w:val="1"/>
      <w:marLeft w:val="0"/>
      <w:marRight w:val="0"/>
      <w:marTop w:val="0"/>
      <w:marBottom w:val="0"/>
      <w:divBdr>
        <w:top w:val="none" w:sz="0" w:space="0" w:color="auto"/>
        <w:left w:val="none" w:sz="0" w:space="0" w:color="auto"/>
        <w:bottom w:val="none" w:sz="0" w:space="0" w:color="auto"/>
        <w:right w:val="none" w:sz="0" w:space="0" w:color="auto"/>
      </w:divBdr>
    </w:div>
    <w:div w:id="1744911001">
      <w:bodyDiv w:val="1"/>
      <w:marLeft w:val="0"/>
      <w:marRight w:val="0"/>
      <w:marTop w:val="0"/>
      <w:marBottom w:val="0"/>
      <w:divBdr>
        <w:top w:val="none" w:sz="0" w:space="0" w:color="auto"/>
        <w:left w:val="none" w:sz="0" w:space="0" w:color="auto"/>
        <w:bottom w:val="none" w:sz="0" w:space="0" w:color="auto"/>
        <w:right w:val="none" w:sz="0" w:space="0" w:color="auto"/>
      </w:divBdr>
    </w:div>
    <w:div w:id="1751853025">
      <w:bodyDiv w:val="1"/>
      <w:marLeft w:val="0"/>
      <w:marRight w:val="0"/>
      <w:marTop w:val="0"/>
      <w:marBottom w:val="0"/>
      <w:divBdr>
        <w:top w:val="none" w:sz="0" w:space="0" w:color="auto"/>
        <w:left w:val="none" w:sz="0" w:space="0" w:color="auto"/>
        <w:bottom w:val="none" w:sz="0" w:space="0" w:color="auto"/>
        <w:right w:val="none" w:sz="0" w:space="0" w:color="auto"/>
      </w:divBdr>
    </w:div>
    <w:div w:id="1782408241">
      <w:bodyDiv w:val="1"/>
      <w:marLeft w:val="0"/>
      <w:marRight w:val="0"/>
      <w:marTop w:val="0"/>
      <w:marBottom w:val="0"/>
      <w:divBdr>
        <w:top w:val="none" w:sz="0" w:space="0" w:color="auto"/>
        <w:left w:val="none" w:sz="0" w:space="0" w:color="auto"/>
        <w:bottom w:val="none" w:sz="0" w:space="0" w:color="auto"/>
        <w:right w:val="none" w:sz="0" w:space="0" w:color="auto"/>
      </w:divBdr>
    </w:div>
    <w:div w:id="1822229966">
      <w:bodyDiv w:val="1"/>
      <w:marLeft w:val="0"/>
      <w:marRight w:val="0"/>
      <w:marTop w:val="0"/>
      <w:marBottom w:val="0"/>
      <w:divBdr>
        <w:top w:val="none" w:sz="0" w:space="0" w:color="auto"/>
        <w:left w:val="none" w:sz="0" w:space="0" w:color="auto"/>
        <w:bottom w:val="none" w:sz="0" w:space="0" w:color="auto"/>
        <w:right w:val="none" w:sz="0" w:space="0" w:color="auto"/>
      </w:divBdr>
    </w:div>
    <w:div w:id="1822383720">
      <w:bodyDiv w:val="1"/>
      <w:marLeft w:val="0"/>
      <w:marRight w:val="0"/>
      <w:marTop w:val="0"/>
      <w:marBottom w:val="0"/>
      <w:divBdr>
        <w:top w:val="none" w:sz="0" w:space="0" w:color="auto"/>
        <w:left w:val="none" w:sz="0" w:space="0" w:color="auto"/>
        <w:bottom w:val="none" w:sz="0" w:space="0" w:color="auto"/>
        <w:right w:val="none" w:sz="0" w:space="0" w:color="auto"/>
      </w:divBdr>
    </w:div>
    <w:div w:id="1854565078">
      <w:bodyDiv w:val="1"/>
      <w:marLeft w:val="0"/>
      <w:marRight w:val="0"/>
      <w:marTop w:val="0"/>
      <w:marBottom w:val="0"/>
      <w:divBdr>
        <w:top w:val="none" w:sz="0" w:space="0" w:color="auto"/>
        <w:left w:val="none" w:sz="0" w:space="0" w:color="auto"/>
        <w:bottom w:val="none" w:sz="0" w:space="0" w:color="auto"/>
        <w:right w:val="none" w:sz="0" w:space="0" w:color="auto"/>
      </w:divBdr>
    </w:div>
    <w:div w:id="1886524406">
      <w:bodyDiv w:val="1"/>
      <w:marLeft w:val="0"/>
      <w:marRight w:val="0"/>
      <w:marTop w:val="0"/>
      <w:marBottom w:val="0"/>
      <w:divBdr>
        <w:top w:val="none" w:sz="0" w:space="0" w:color="auto"/>
        <w:left w:val="none" w:sz="0" w:space="0" w:color="auto"/>
        <w:bottom w:val="none" w:sz="0" w:space="0" w:color="auto"/>
        <w:right w:val="none" w:sz="0" w:space="0" w:color="auto"/>
      </w:divBdr>
    </w:div>
    <w:div w:id="1886529602">
      <w:bodyDiv w:val="1"/>
      <w:marLeft w:val="0"/>
      <w:marRight w:val="0"/>
      <w:marTop w:val="0"/>
      <w:marBottom w:val="0"/>
      <w:divBdr>
        <w:top w:val="none" w:sz="0" w:space="0" w:color="auto"/>
        <w:left w:val="none" w:sz="0" w:space="0" w:color="auto"/>
        <w:bottom w:val="none" w:sz="0" w:space="0" w:color="auto"/>
        <w:right w:val="none" w:sz="0" w:space="0" w:color="auto"/>
      </w:divBdr>
    </w:div>
    <w:div w:id="1923027309">
      <w:bodyDiv w:val="1"/>
      <w:marLeft w:val="0"/>
      <w:marRight w:val="0"/>
      <w:marTop w:val="0"/>
      <w:marBottom w:val="0"/>
      <w:divBdr>
        <w:top w:val="none" w:sz="0" w:space="0" w:color="auto"/>
        <w:left w:val="none" w:sz="0" w:space="0" w:color="auto"/>
        <w:bottom w:val="none" w:sz="0" w:space="0" w:color="auto"/>
        <w:right w:val="none" w:sz="0" w:space="0" w:color="auto"/>
      </w:divBdr>
    </w:div>
    <w:div w:id="1925797287">
      <w:bodyDiv w:val="1"/>
      <w:marLeft w:val="0"/>
      <w:marRight w:val="0"/>
      <w:marTop w:val="0"/>
      <w:marBottom w:val="0"/>
      <w:divBdr>
        <w:top w:val="none" w:sz="0" w:space="0" w:color="auto"/>
        <w:left w:val="none" w:sz="0" w:space="0" w:color="auto"/>
        <w:bottom w:val="none" w:sz="0" w:space="0" w:color="auto"/>
        <w:right w:val="none" w:sz="0" w:space="0" w:color="auto"/>
      </w:divBdr>
    </w:div>
    <w:div w:id="1977253812">
      <w:bodyDiv w:val="1"/>
      <w:marLeft w:val="0"/>
      <w:marRight w:val="0"/>
      <w:marTop w:val="0"/>
      <w:marBottom w:val="0"/>
      <w:divBdr>
        <w:top w:val="none" w:sz="0" w:space="0" w:color="auto"/>
        <w:left w:val="none" w:sz="0" w:space="0" w:color="auto"/>
        <w:bottom w:val="none" w:sz="0" w:space="0" w:color="auto"/>
        <w:right w:val="none" w:sz="0" w:space="0" w:color="auto"/>
      </w:divBdr>
    </w:div>
    <w:div w:id="2024547311">
      <w:bodyDiv w:val="1"/>
      <w:marLeft w:val="0"/>
      <w:marRight w:val="0"/>
      <w:marTop w:val="0"/>
      <w:marBottom w:val="0"/>
      <w:divBdr>
        <w:top w:val="none" w:sz="0" w:space="0" w:color="auto"/>
        <w:left w:val="none" w:sz="0" w:space="0" w:color="auto"/>
        <w:bottom w:val="none" w:sz="0" w:space="0" w:color="auto"/>
        <w:right w:val="none" w:sz="0" w:space="0" w:color="auto"/>
      </w:divBdr>
    </w:div>
    <w:div w:id="2026663952">
      <w:bodyDiv w:val="1"/>
      <w:marLeft w:val="0"/>
      <w:marRight w:val="0"/>
      <w:marTop w:val="0"/>
      <w:marBottom w:val="0"/>
      <w:divBdr>
        <w:top w:val="none" w:sz="0" w:space="0" w:color="auto"/>
        <w:left w:val="none" w:sz="0" w:space="0" w:color="auto"/>
        <w:bottom w:val="none" w:sz="0" w:space="0" w:color="auto"/>
        <w:right w:val="none" w:sz="0" w:space="0" w:color="auto"/>
      </w:divBdr>
    </w:div>
    <w:div w:id="2053846830">
      <w:bodyDiv w:val="1"/>
      <w:marLeft w:val="0"/>
      <w:marRight w:val="0"/>
      <w:marTop w:val="0"/>
      <w:marBottom w:val="0"/>
      <w:divBdr>
        <w:top w:val="none" w:sz="0" w:space="0" w:color="auto"/>
        <w:left w:val="none" w:sz="0" w:space="0" w:color="auto"/>
        <w:bottom w:val="none" w:sz="0" w:space="0" w:color="auto"/>
        <w:right w:val="none" w:sz="0" w:space="0" w:color="auto"/>
      </w:divBdr>
    </w:div>
    <w:div w:id="211235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1E778-06E0-4E42-80B2-FC82BF72B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2591</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Office User</cp:lastModifiedBy>
  <cp:revision>2</cp:revision>
  <cp:lastPrinted>2022-02-05T02:56:00Z</cp:lastPrinted>
  <dcterms:created xsi:type="dcterms:W3CDTF">2023-07-20T12:52:00Z</dcterms:created>
  <dcterms:modified xsi:type="dcterms:W3CDTF">2023-07-20T12:52:00Z</dcterms:modified>
</cp:coreProperties>
</file>